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7BD66" w14:textId="77777777" w:rsidR="00CC2B99" w:rsidRDefault="00F04323" w:rsidP="0017733A">
      <w:pPr>
        <w:spacing w:after="0" w:line="240" w:lineRule="auto"/>
        <w:jc w:val="center"/>
        <w:rPr>
          <w:b/>
          <w:sz w:val="28"/>
          <w:szCs w:val="24"/>
        </w:rPr>
      </w:pPr>
      <w:bookmarkStart w:id="0" w:name="_GoBack"/>
      <w:bookmarkEnd w:id="0"/>
      <w:r>
        <w:rPr>
          <w:b/>
          <w:sz w:val="28"/>
          <w:szCs w:val="24"/>
        </w:rPr>
        <w:t>I</w:t>
      </w:r>
      <w:r w:rsidR="00CC2B99">
        <w:rPr>
          <w:b/>
          <w:sz w:val="28"/>
          <w:szCs w:val="24"/>
        </w:rPr>
        <w:t xml:space="preserve">nterim Guidance from the Minnesota Office of Justice Programs (OJP) for </w:t>
      </w:r>
    </w:p>
    <w:p w14:paraId="2C078E63" w14:textId="0C4586AB" w:rsidR="00576025" w:rsidRDefault="00F04323" w:rsidP="0017733A">
      <w:pPr>
        <w:spacing w:after="0" w:line="240" w:lineRule="auto"/>
        <w:jc w:val="center"/>
        <w:rPr>
          <w:b/>
          <w:sz w:val="28"/>
          <w:szCs w:val="24"/>
        </w:rPr>
      </w:pPr>
      <w:r w:rsidRPr="00F04323">
        <w:rPr>
          <w:b/>
          <w:sz w:val="28"/>
          <w:szCs w:val="24"/>
        </w:rPr>
        <w:t>Crime Victim Service</w:t>
      </w:r>
      <w:r w:rsidR="00CC2B99">
        <w:rPr>
          <w:b/>
          <w:sz w:val="28"/>
          <w:szCs w:val="24"/>
        </w:rPr>
        <w:t xml:space="preserve"> (CVS)</w:t>
      </w:r>
      <w:r w:rsidR="7ACF2B30" w:rsidRPr="00F04323">
        <w:rPr>
          <w:b/>
          <w:sz w:val="28"/>
          <w:szCs w:val="24"/>
        </w:rPr>
        <w:t xml:space="preserve"> Grantees</w:t>
      </w:r>
    </w:p>
    <w:p w14:paraId="3167DDEA" w14:textId="22256B3E" w:rsidR="00CC2B99" w:rsidRDefault="002D4911" w:rsidP="0017733A">
      <w:pPr>
        <w:spacing w:after="0" w:line="240" w:lineRule="auto"/>
        <w:jc w:val="center"/>
        <w:rPr>
          <w:b/>
          <w:color w:val="FF0000"/>
          <w:sz w:val="28"/>
          <w:szCs w:val="24"/>
        </w:rPr>
      </w:pPr>
      <w:r>
        <w:rPr>
          <w:b/>
          <w:color w:val="FF0000"/>
          <w:sz w:val="28"/>
          <w:szCs w:val="24"/>
        </w:rPr>
        <w:t xml:space="preserve">Updated April </w:t>
      </w:r>
      <w:r w:rsidR="000E0FCB">
        <w:rPr>
          <w:b/>
          <w:color w:val="FF0000"/>
          <w:sz w:val="28"/>
          <w:szCs w:val="24"/>
        </w:rPr>
        <w:t>21</w:t>
      </w:r>
      <w:r w:rsidR="00C41EDB" w:rsidRPr="00C41EDB">
        <w:rPr>
          <w:b/>
          <w:color w:val="FF0000"/>
          <w:sz w:val="28"/>
          <w:szCs w:val="24"/>
        </w:rPr>
        <w:t>, 2020</w:t>
      </w:r>
    </w:p>
    <w:p w14:paraId="494A5167" w14:textId="77777777" w:rsidR="0017733A" w:rsidRPr="0017733A" w:rsidRDefault="0017733A" w:rsidP="0017733A">
      <w:pPr>
        <w:spacing w:after="0" w:line="240" w:lineRule="auto"/>
        <w:jc w:val="center"/>
        <w:rPr>
          <w:b/>
          <w:color w:val="FF0000"/>
          <w:sz w:val="28"/>
          <w:szCs w:val="24"/>
        </w:rPr>
      </w:pPr>
    </w:p>
    <w:p w14:paraId="07FD72FF" w14:textId="1311CB7B" w:rsidR="00C41EDB" w:rsidRPr="00F85125" w:rsidRDefault="000E0FCB" w:rsidP="00F85125">
      <w:pPr>
        <w:spacing w:after="0" w:line="240" w:lineRule="auto"/>
        <w:rPr>
          <w:b/>
          <w:color w:val="FF0000"/>
          <w:sz w:val="24"/>
          <w:szCs w:val="24"/>
          <w:u w:val="single"/>
        </w:rPr>
      </w:pPr>
      <w:r>
        <w:rPr>
          <w:b/>
          <w:color w:val="FF0000"/>
          <w:sz w:val="24"/>
          <w:szCs w:val="24"/>
          <w:u w:val="single"/>
        </w:rPr>
        <w:t>April 21</w:t>
      </w:r>
      <w:r w:rsidR="00C41EDB" w:rsidRPr="00F85125">
        <w:rPr>
          <w:b/>
          <w:color w:val="FF0000"/>
          <w:sz w:val="24"/>
          <w:szCs w:val="24"/>
          <w:u w:val="single"/>
        </w:rPr>
        <w:t>, 2020</w:t>
      </w:r>
    </w:p>
    <w:p w14:paraId="522379D5" w14:textId="134A5917" w:rsidR="002F6D13" w:rsidRDefault="002F6D13" w:rsidP="00F85125">
      <w:pPr>
        <w:spacing w:after="0" w:line="240" w:lineRule="auto"/>
        <w:rPr>
          <w:sz w:val="24"/>
          <w:szCs w:val="24"/>
        </w:rPr>
      </w:pPr>
      <w:r>
        <w:rPr>
          <w:sz w:val="24"/>
          <w:szCs w:val="24"/>
        </w:rPr>
        <w:t xml:space="preserve"> </w:t>
      </w:r>
    </w:p>
    <w:p w14:paraId="761A1157" w14:textId="77777777" w:rsidR="00537661" w:rsidRDefault="000E0FCB" w:rsidP="00537661">
      <w:pPr>
        <w:spacing w:after="0" w:line="240" w:lineRule="auto"/>
        <w:rPr>
          <w:b/>
          <w:sz w:val="24"/>
          <w:szCs w:val="24"/>
        </w:rPr>
      </w:pPr>
      <w:r w:rsidRPr="000E0FCB">
        <w:rPr>
          <w:b/>
          <w:sz w:val="24"/>
          <w:szCs w:val="24"/>
        </w:rPr>
        <w:t>COVID-19 Related Expenses</w:t>
      </w:r>
    </w:p>
    <w:p w14:paraId="59C37DFF" w14:textId="7F2300DC" w:rsidR="0017733A" w:rsidRPr="0017733A" w:rsidRDefault="00607980" w:rsidP="0017733A">
      <w:pPr>
        <w:spacing w:after="0" w:line="240" w:lineRule="auto"/>
        <w:rPr>
          <w:b/>
          <w:bCs/>
          <w:sz w:val="24"/>
          <w:szCs w:val="24"/>
        </w:rPr>
      </w:pPr>
      <w:r>
        <w:rPr>
          <w:sz w:val="24"/>
          <w:szCs w:val="24"/>
        </w:rPr>
        <w:t>OJP knows grantees are facing difficulties that may impact how you want or need to use your grant funds.  If you have questions about the flexibility of grant funds paying for COVID-19 related expenses, please refer to the Budget Allocation Guide (</w:t>
      </w:r>
      <w:hyperlink r:id="rId8" w:history="1">
        <w:r>
          <w:rPr>
            <w:rStyle w:val="Hyperlink"/>
            <w:i/>
            <w:iCs/>
            <w:color w:val="0462C1"/>
            <w:sz w:val="24"/>
            <w:szCs w:val="24"/>
          </w:rPr>
          <w:t>VOCA</w:t>
        </w:r>
        <w:r>
          <w:rPr>
            <w:rStyle w:val="Hyperlink"/>
            <w:color w:val="000000"/>
            <w:sz w:val="24"/>
            <w:szCs w:val="24"/>
          </w:rPr>
          <w:t xml:space="preserve">, </w:t>
        </w:r>
      </w:hyperlink>
      <w:hyperlink r:id="rId9" w:history="1">
        <w:r>
          <w:rPr>
            <w:rStyle w:val="Hyperlink"/>
            <w:i/>
            <w:iCs/>
            <w:color w:val="0462C1"/>
            <w:sz w:val="24"/>
            <w:szCs w:val="24"/>
          </w:rPr>
          <w:t>VAWA/SASP</w:t>
        </w:r>
        <w:r>
          <w:rPr>
            <w:rStyle w:val="Hyperlink"/>
            <w:color w:val="000000"/>
            <w:sz w:val="24"/>
            <w:szCs w:val="24"/>
          </w:rPr>
          <w:t>,</w:t>
        </w:r>
      </w:hyperlink>
      <w:r>
        <w:rPr>
          <w:color w:val="000000"/>
          <w:sz w:val="24"/>
          <w:szCs w:val="24"/>
        </w:rPr>
        <w:t xml:space="preserve"> or </w:t>
      </w:r>
      <w:hyperlink r:id="rId10" w:history="1">
        <w:r>
          <w:rPr>
            <w:rStyle w:val="Hyperlink"/>
            <w:i/>
            <w:iCs/>
            <w:color w:val="0462C1"/>
            <w:sz w:val="24"/>
            <w:szCs w:val="24"/>
          </w:rPr>
          <w:t>FVPSA</w:t>
        </w:r>
      </w:hyperlink>
      <w:r>
        <w:rPr>
          <w:sz w:val="24"/>
          <w:szCs w:val="24"/>
        </w:rPr>
        <w:t xml:space="preserve">) applicable to your funding type, and the information contained in this document . </w:t>
      </w:r>
      <w:r>
        <w:rPr>
          <w:i/>
          <w:iCs/>
          <w:color w:val="0462C1"/>
          <w:sz w:val="24"/>
          <w:szCs w:val="24"/>
        </w:rPr>
        <w:t> </w:t>
      </w:r>
      <w:r>
        <w:rPr>
          <w:sz w:val="24"/>
          <w:szCs w:val="24"/>
        </w:rPr>
        <w:t xml:space="preserve">If you still have questions about the </w:t>
      </w:r>
      <w:proofErr w:type="spellStart"/>
      <w:r>
        <w:rPr>
          <w:sz w:val="24"/>
          <w:szCs w:val="24"/>
        </w:rPr>
        <w:t>allowability</w:t>
      </w:r>
      <w:proofErr w:type="spellEnd"/>
      <w:r>
        <w:rPr>
          <w:sz w:val="24"/>
          <w:szCs w:val="24"/>
        </w:rPr>
        <w:t xml:space="preserve"> of specific expenses, please contact your grant manager. </w:t>
      </w:r>
    </w:p>
    <w:p w14:paraId="55F46C0C" w14:textId="77777777" w:rsidR="0017733A" w:rsidRDefault="0017733A" w:rsidP="0017733A">
      <w:pPr>
        <w:spacing w:after="0" w:line="240" w:lineRule="auto"/>
        <w:rPr>
          <w:b/>
          <w:sz w:val="24"/>
          <w:szCs w:val="24"/>
        </w:rPr>
      </w:pPr>
    </w:p>
    <w:p w14:paraId="1CE1F947" w14:textId="77777777" w:rsidR="0017733A" w:rsidRDefault="0017733A" w:rsidP="0017733A">
      <w:pPr>
        <w:spacing w:after="0" w:line="240" w:lineRule="auto"/>
        <w:rPr>
          <w:b/>
          <w:sz w:val="24"/>
          <w:szCs w:val="24"/>
        </w:rPr>
      </w:pPr>
    </w:p>
    <w:p w14:paraId="691C423D" w14:textId="42DB3154" w:rsidR="007D6321" w:rsidRPr="00CA6D62" w:rsidRDefault="00CA6D62" w:rsidP="0017733A">
      <w:pPr>
        <w:spacing w:after="0" w:line="240" w:lineRule="auto"/>
        <w:rPr>
          <w:b/>
          <w:sz w:val="24"/>
          <w:szCs w:val="24"/>
        </w:rPr>
      </w:pPr>
      <w:r w:rsidRPr="00CA6D62">
        <w:rPr>
          <w:b/>
          <w:sz w:val="24"/>
          <w:szCs w:val="24"/>
        </w:rPr>
        <w:t>COVID-19 Lea</w:t>
      </w:r>
      <w:r w:rsidR="00F44083">
        <w:rPr>
          <w:b/>
          <w:sz w:val="24"/>
          <w:szCs w:val="24"/>
        </w:rPr>
        <w:t xml:space="preserve">ve:  FSR Description Box </w:t>
      </w:r>
      <w:r w:rsidRPr="00CA6D62">
        <w:rPr>
          <w:b/>
          <w:sz w:val="24"/>
          <w:szCs w:val="24"/>
        </w:rPr>
        <w:t xml:space="preserve">Sample </w:t>
      </w:r>
    </w:p>
    <w:p w14:paraId="7556036F" w14:textId="59EC3828" w:rsidR="00CA6D62" w:rsidRDefault="00CA6D62" w:rsidP="00F85125">
      <w:pPr>
        <w:spacing w:after="0" w:line="240" w:lineRule="auto"/>
        <w:rPr>
          <w:sz w:val="24"/>
          <w:szCs w:val="24"/>
        </w:rPr>
      </w:pPr>
      <w:r>
        <w:rPr>
          <w:sz w:val="24"/>
          <w:szCs w:val="24"/>
        </w:rPr>
        <w:t>In the initial March 30 version of this document, you were provided guidance to “I</w:t>
      </w:r>
      <w:r w:rsidRPr="00CA6D62">
        <w:rPr>
          <w:sz w:val="24"/>
          <w:szCs w:val="24"/>
        </w:rPr>
        <w:t>ndicate the amounts of personnel wages and benefit expenses associated with COVID-19 leave in the FSR description detail boxes for each line item associated with COVID-19 leave (individual salary lines and payroll taxes/fringe).</w:t>
      </w:r>
      <w:r>
        <w:rPr>
          <w:sz w:val="24"/>
          <w:szCs w:val="24"/>
        </w:rPr>
        <w:t>”</w:t>
      </w:r>
      <w:r w:rsidR="005736E1">
        <w:rPr>
          <w:sz w:val="24"/>
          <w:szCs w:val="24"/>
        </w:rPr>
        <w:t xml:space="preserve">  Here is a sample </w:t>
      </w:r>
      <w:r w:rsidR="009134D0">
        <w:rPr>
          <w:sz w:val="24"/>
          <w:szCs w:val="24"/>
        </w:rPr>
        <w:t>of how that c</w:t>
      </w:r>
      <w:r>
        <w:rPr>
          <w:sz w:val="24"/>
          <w:szCs w:val="24"/>
        </w:rPr>
        <w:t>ould look.</w:t>
      </w:r>
    </w:p>
    <w:p w14:paraId="1A883C9A" w14:textId="77777777" w:rsidR="00CA6D62" w:rsidRDefault="00CA6D62" w:rsidP="00F85125">
      <w:pPr>
        <w:spacing w:after="0" w:line="240" w:lineRule="auto"/>
        <w:rPr>
          <w:sz w:val="24"/>
          <w:szCs w:val="24"/>
        </w:rPr>
      </w:pPr>
    </w:p>
    <w:p w14:paraId="7602EFB8" w14:textId="65B320F1" w:rsidR="00CA6D62" w:rsidRDefault="005C7E2C" w:rsidP="00F85125">
      <w:pPr>
        <w:spacing w:after="0" w:line="240" w:lineRule="auto"/>
        <w:rPr>
          <w:sz w:val="24"/>
          <w:szCs w:val="24"/>
        </w:rPr>
      </w:pPr>
      <w:r>
        <w:rPr>
          <w:noProof/>
        </w:rPr>
        <w:drawing>
          <wp:inline distT="0" distB="0" distL="0" distR="0" wp14:anchorId="24039D89" wp14:editId="17311FC0">
            <wp:extent cx="5943600"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05865"/>
                    </a:xfrm>
                    <a:prstGeom prst="rect">
                      <a:avLst/>
                    </a:prstGeom>
                  </pic:spPr>
                </pic:pic>
              </a:graphicData>
            </a:graphic>
          </wp:inline>
        </w:drawing>
      </w:r>
    </w:p>
    <w:p w14:paraId="7AE1F77E" w14:textId="77777777" w:rsidR="00CA6D62" w:rsidRDefault="00CA6D62" w:rsidP="00F85125">
      <w:pPr>
        <w:spacing w:after="0" w:line="240" w:lineRule="auto"/>
        <w:rPr>
          <w:sz w:val="24"/>
          <w:szCs w:val="24"/>
        </w:rPr>
      </w:pPr>
    </w:p>
    <w:p w14:paraId="177102A7" w14:textId="77777777" w:rsidR="008D59BB" w:rsidRDefault="008D59BB" w:rsidP="00F85125">
      <w:pPr>
        <w:spacing w:after="0" w:line="240" w:lineRule="auto"/>
        <w:rPr>
          <w:sz w:val="24"/>
          <w:szCs w:val="24"/>
        </w:rPr>
      </w:pPr>
    </w:p>
    <w:p w14:paraId="1CBF11D8" w14:textId="1DA11AED" w:rsidR="007D6321" w:rsidRPr="00F85125" w:rsidRDefault="00F85125" w:rsidP="00F85125">
      <w:pPr>
        <w:spacing w:after="0" w:line="240" w:lineRule="auto"/>
        <w:rPr>
          <w:b/>
          <w:sz w:val="24"/>
          <w:szCs w:val="24"/>
        </w:rPr>
      </w:pPr>
      <w:r w:rsidRPr="00F85125">
        <w:rPr>
          <w:b/>
          <w:sz w:val="24"/>
          <w:szCs w:val="24"/>
        </w:rPr>
        <w:t>Risk Pay</w:t>
      </w:r>
      <w:r w:rsidR="002D4911">
        <w:rPr>
          <w:b/>
          <w:sz w:val="24"/>
          <w:szCs w:val="24"/>
        </w:rPr>
        <w:t xml:space="preserve"> (or Hazard Pay)</w:t>
      </w:r>
    </w:p>
    <w:p w14:paraId="1F535396" w14:textId="2C40B092" w:rsidR="00F85125" w:rsidRPr="00F85125" w:rsidRDefault="00F85125" w:rsidP="00F85125">
      <w:pPr>
        <w:spacing w:after="0" w:line="240" w:lineRule="auto"/>
        <w:rPr>
          <w:sz w:val="24"/>
          <w:szCs w:val="24"/>
        </w:rPr>
      </w:pPr>
      <w:r w:rsidRPr="00F85125">
        <w:rPr>
          <w:sz w:val="24"/>
          <w:szCs w:val="24"/>
        </w:rPr>
        <w:t>If you are planning to provide risk pay increases with grant funds to employees who are in your current CVS budget, you must document that decision in a board-approved motion</w:t>
      </w:r>
      <w:r w:rsidR="006C3A1F">
        <w:rPr>
          <w:sz w:val="24"/>
          <w:szCs w:val="24"/>
        </w:rPr>
        <w:t xml:space="preserve"> (unless you have a board</w:t>
      </w:r>
      <w:r w:rsidR="004013AA">
        <w:rPr>
          <w:sz w:val="24"/>
          <w:szCs w:val="24"/>
        </w:rPr>
        <w:t xml:space="preserve"> approved policy that gives </w:t>
      </w:r>
      <w:r w:rsidR="002D4911">
        <w:rPr>
          <w:sz w:val="24"/>
          <w:szCs w:val="24"/>
        </w:rPr>
        <w:t xml:space="preserve">program </w:t>
      </w:r>
      <w:r w:rsidR="004013AA">
        <w:rPr>
          <w:sz w:val="24"/>
          <w:szCs w:val="24"/>
        </w:rPr>
        <w:t>leadership t</w:t>
      </w:r>
      <w:r w:rsidR="002D4911">
        <w:rPr>
          <w:sz w:val="24"/>
          <w:szCs w:val="24"/>
        </w:rPr>
        <w:t>he flexibility to implement these</w:t>
      </w:r>
      <w:r w:rsidR="004013AA">
        <w:rPr>
          <w:sz w:val="24"/>
          <w:szCs w:val="24"/>
        </w:rPr>
        <w:t xml:space="preserve"> type</w:t>
      </w:r>
      <w:r w:rsidR="002D4911">
        <w:rPr>
          <w:sz w:val="24"/>
          <w:szCs w:val="24"/>
        </w:rPr>
        <w:t>s</w:t>
      </w:r>
      <w:r w:rsidR="004013AA">
        <w:rPr>
          <w:sz w:val="24"/>
          <w:szCs w:val="24"/>
        </w:rPr>
        <w:t xml:space="preserve"> of </w:t>
      </w:r>
      <w:r w:rsidR="002D4911">
        <w:rPr>
          <w:sz w:val="24"/>
          <w:szCs w:val="24"/>
        </w:rPr>
        <w:t xml:space="preserve">salary changes </w:t>
      </w:r>
      <w:r w:rsidR="004013AA">
        <w:rPr>
          <w:sz w:val="24"/>
          <w:szCs w:val="24"/>
        </w:rPr>
        <w:t>as necessary)</w:t>
      </w:r>
      <w:r w:rsidRPr="00F85125">
        <w:rPr>
          <w:sz w:val="24"/>
          <w:szCs w:val="24"/>
        </w:rPr>
        <w:t>.  You do not need to do a budget rev</w:t>
      </w:r>
      <w:r w:rsidR="004013AA">
        <w:rPr>
          <w:sz w:val="24"/>
          <w:szCs w:val="24"/>
        </w:rPr>
        <w:t>ision unless your personnel budget category</w:t>
      </w:r>
      <w:r w:rsidRPr="00F85125">
        <w:rPr>
          <w:sz w:val="24"/>
          <w:szCs w:val="24"/>
        </w:rPr>
        <w:t xml:space="preserve"> as a whole will increase by 10% or more.  You</w:t>
      </w:r>
      <w:r w:rsidR="00722E0F">
        <w:rPr>
          <w:sz w:val="24"/>
          <w:szCs w:val="24"/>
        </w:rPr>
        <w:t xml:space="preserve"> do, however, need to identify i</w:t>
      </w:r>
      <w:r w:rsidRPr="00F85125">
        <w:rPr>
          <w:sz w:val="24"/>
          <w:szCs w:val="24"/>
        </w:rPr>
        <w:t xml:space="preserve">n each FSR </w:t>
      </w:r>
      <w:r w:rsidR="00722E0F">
        <w:rPr>
          <w:sz w:val="24"/>
          <w:szCs w:val="24"/>
        </w:rPr>
        <w:t xml:space="preserve">description box </w:t>
      </w:r>
      <w:r w:rsidRPr="00F85125">
        <w:rPr>
          <w:sz w:val="24"/>
          <w:szCs w:val="24"/>
        </w:rPr>
        <w:t xml:space="preserve">the </w:t>
      </w:r>
      <w:r w:rsidR="004013AA">
        <w:rPr>
          <w:sz w:val="24"/>
          <w:szCs w:val="24"/>
        </w:rPr>
        <w:t>hourly risk pay, number of hours for which risk pay was earned an</w:t>
      </w:r>
      <w:r w:rsidR="00722E0F">
        <w:rPr>
          <w:sz w:val="24"/>
          <w:szCs w:val="24"/>
        </w:rPr>
        <w:t xml:space="preserve">d the total amount of risk pay for </w:t>
      </w:r>
      <w:r w:rsidR="00393C30">
        <w:rPr>
          <w:sz w:val="24"/>
          <w:szCs w:val="24"/>
        </w:rPr>
        <w:t>each employee receiving it</w:t>
      </w:r>
      <w:r w:rsidR="00722E0F">
        <w:rPr>
          <w:sz w:val="24"/>
          <w:szCs w:val="24"/>
        </w:rPr>
        <w:t>.</w:t>
      </w:r>
    </w:p>
    <w:p w14:paraId="42A327E2" w14:textId="77777777" w:rsidR="00663270" w:rsidRDefault="00663270" w:rsidP="00F85125">
      <w:pPr>
        <w:spacing w:after="0" w:line="240" w:lineRule="auto"/>
        <w:rPr>
          <w:sz w:val="24"/>
          <w:szCs w:val="24"/>
        </w:rPr>
      </w:pPr>
      <w:r>
        <w:rPr>
          <w:sz w:val="24"/>
          <w:szCs w:val="24"/>
        </w:rPr>
        <w:t xml:space="preserve"> </w:t>
      </w:r>
    </w:p>
    <w:p w14:paraId="567D4474" w14:textId="6A855F8D" w:rsidR="00663270" w:rsidRPr="00663270" w:rsidRDefault="00663270" w:rsidP="00F85125">
      <w:pPr>
        <w:spacing w:after="0" w:line="240" w:lineRule="auto"/>
        <w:rPr>
          <w:i/>
          <w:sz w:val="24"/>
          <w:szCs w:val="24"/>
        </w:rPr>
      </w:pPr>
      <w:r w:rsidRPr="00663270">
        <w:rPr>
          <w:i/>
          <w:sz w:val="24"/>
          <w:szCs w:val="24"/>
        </w:rPr>
        <w:t xml:space="preserve">Sample </w:t>
      </w:r>
      <w:r w:rsidR="005B17DF">
        <w:rPr>
          <w:i/>
          <w:sz w:val="24"/>
          <w:szCs w:val="24"/>
        </w:rPr>
        <w:t xml:space="preserve">risk pay </w:t>
      </w:r>
      <w:r w:rsidRPr="00663270">
        <w:rPr>
          <w:i/>
          <w:sz w:val="24"/>
          <w:szCs w:val="24"/>
        </w:rPr>
        <w:t xml:space="preserve">FSR description box entry: </w:t>
      </w:r>
    </w:p>
    <w:p w14:paraId="5FD09F8C" w14:textId="3FEC38A2" w:rsidR="00663270" w:rsidRDefault="00663270" w:rsidP="00F85125">
      <w:pPr>
        <w:spacing w:after="0" w:line="240" w:lineRule="auto"/>
        <w:rPr>
          <w:sz w:val="24"/>
          <w:szCs w:val="24"/>
        </w:rPr>
      </w:pPr>
      <w:r>
        <w:rPr>
          <w:sz w:val="24"/>
          <w:szCs w:val="24"/>
        </w:rPr>
        <w:t xml:space="preserve">The sample entry below includes the employee name or initials, identifies regular vs. risk pay, and provides an equation for the risk pay amount. </w:t>
      </w:r>
      <w:r w:rsidR="00F85125" w:rsidRPr="00F85125">
        <w:rPr>
          <w:sz w:val="24"/>
          <w:szCs w:val="24"/>
        </w:rPr>
        <w:t xml:space="preserve">       </w:t>
      </w:r>
    </w:p>
    <w:p w14:paraId="3BC57BA6" w14:textId="77777777" w:rsidR="0017733A" w:rsidRDefault="0017733A" w:rsidP="00F85125">
      <w:pPr>
        <w:spacing w:after="0" w:line="240" w:lineRule="auto"/>
        <w:rPr>
          <w:sz w:val="24"/>
          <w:szCs w:val="24"/>
        </w:rPr>
      </w:pPr>
    </w:p>
    <w:p w14:paraId="657F70C5" w14:textId="108FFE7F" w:rsidR="008D59BB" w:rsidRDefault="00092C4E" w:rsidP="0017733A">
      <w:pPr>
        <w:spacing w:after="0" w:line="240" w:lineRule="auto"/>
        <w:rPr>
          <w:sz w:val="24"/>
          <w:szCs w:val="24"/>
        </w:rPr>
      </w:pPr>
      <w:r>
        <w:rPr>
          <w:noProof/>
        </w:rPr>
        <w:drawing>
          <wp:inline distT="0" distB="0" distL="0" distR="0" wp14:anchorId="411AF72D" wp14:editId="2487B98D">
            <wp:extent cx="594360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22300"/>
                    </a:xfrm>
                    <a:prstGeom prst="rect">
                      <a:avLst/>
                    </a:prstGeom>
                  </pic:spPr>
                </pic:pic>
              </a:graphicData>
            </a:graphic>
          </wp:inline>
        </w:drawing>
      </w:r>
    </w:p>
    <w:p w14:paraId="4321BECD" w14:textId="77777777" w:rsidR="0017733A" w:rsidRDefault="0017733A" w:rsidP="00F85125">
      <w:pPr>
        <w:tabs>
          <w:tab w:val="left" w:pos="1140"/>
        </w:tabs>
        <w:spacing w:after="0" w:line="240" w:lineRule="auto"/>
        <w:rPr>
          <w:b/>
          <w:sz w:val="24"/>
          <w:szCs w:val="24"/>
        </w:rPr>
      </w:pPr>
    </w:p>
    <w:p w14:paraId="568F541C" w14:textId="761B4DA5" w:rsidR="00F85125" w:rsidRDefault="00F85125" w:rsidP="00F85125">
      <w:pPr>
        <w:tabs>
          <w:tab w:val="left" w:pos="1140"/>
        </w:tabs>
        <w:spacing w:after="0" w:line="240" w:lineRule="auto"/>
        <w:rPr>
          <w:b/>
          <w:sz w:val="24"/>
          <w:szCs w:val="24"/>
        </w:rPr>
      </w:pPr>
      <w:r>
        <w:rPr>
          <w:b/>
          <w:sz w:val="24"/>
          <w:szCs w:val="24"/>
        </w:rPr>
        <w:lastRenderedPageBreak/>
        <w:t>Payroll Protection Program</w:t>
      </w:r>
      <w:r w:rsidR="00722E0F">
        <w:rPr>
          <w:b/>
          <w:sz w:val="24"/>
          <w:szCs w:val="24"/>
        </w:rPr>
        <w:t xml:space="preserve"> (PPP)</w:t>
      </w:r>
    </w:p>
    <w:p w14:paraId="53D861FB" w14:textId="6D6470F5" w:rsidR="007D6321" w:rsidRDefault="009321CF" w:rsidP="00F85125">
      <w:pPr>
        <w:tabs>
          <w:tab w:val="left" w:pos="1140"/>
        </w:tabs>
        <w:spacing w:after="0" w:line="240" w:lineRule="auto"/>
        <w:rPr>
          <w:b/>
          <w:sz w:val="20"/>
          <w:szCs w:val="20"/>
        </w:rPr>
      </w:pPr>
      <w:hyperlink r:id="rId13" w:history="1">
        <w:r w:rsidR="007D6321" w:rsidRPr="002D02FD">
          <w:rPr>
            <w:rStyle w:val="Hyperlink"/>
            <w:b/>
            <w:sz w:val="20"/>
            <w:szCs w:val="20"/>
          </w:rPr>
          <w:t>https://www.sba.gov/funding-programs/loans/coronavirus-relief-options/paycheck-protection-program-ppp</w:t>
        </w:r>
      </w:hyperlink>
    </w:p>
    <w:p w14:paraId="414E4B2F" w14:textId="77777777" w:rsidR="00673058" w:rsidRPr="007D6321" w:rsidRDefault="00673058" w:rsidP="00F85125">
      <w:pPr>
        <w:tabs>
          <w:tab w:val="left" w:pos="1140"/>
        </w:tabs>
        <w:spacing w:after="0" w:line="240" w:lineRule="auto"/>
        <w:rPr>
          <w:b/>
          <w:sz w:val="20"/>
          <w:szCs w:val="20"/>
        </w:rPr>
      </w:pPr>
    </w:p>
    <w:p w14:paraId="0F3846D6" w14:textId="77777777" w:rsidR="006C3A1F" w:rsidRDefault="003D305B" w:rsidP="00F85125">
      <w:pPr>
        <w:tabs>
          <w:tab w:val="left" w:pos="1140"/>
        </w:tabs>
        <w:spacing w:after="0" w:line="240" w:lineRule="auto"/>
        <w:rPr>
          <w:sz w:val="24"/>
          <w:szCs w:val="24"/>
        </w:rPr>
      </w:pPr>
      <w:r>
        <w:rPr>
          <w:sz w:val="24"/>
          <w:szCs w:val="24"/>
        </w:rPr>
        <w:t>If you receive</w:t>
      </w:r>
      <w:r w:rsidR="00F85125" w:rsidRPr="00F85125">
        <w:rPr>
          <w:sz w:val="24"/>
          <w:szCs w:val="24"/>
        </w:rPr>
        <w:t xml:space="preserve"> a federally-guaranteed loan under the PPP to cover staff co</w:t>
      </w:r>
      <w:r w:rsidR="007D6321">
        <w:rPr>
          <w:sz w:val="24"/>
          <w:szCs w:val="24"/>
        </w:rPr>
        <w:t>sts be sure to</w:t>
      </w:r>
      <w:r w:rsidR="006C3A1F">
        <w:rPr>
          <w:sz w:val="24"/>
          <w:szCs w:val="24"/>
        </w:rPr>
        <w:t>:</w:t>
      </w:r>
      <w:r w:rsidR="007D6321">
        <w:rPr>
          <w:sz w:val="24"/>
          <w:szCs w:val="24"/>
        </w:rPr>
        <w:t xml:space="preserve"> </w:t>
      </w:r>
    </w:p>
    <w:p w14:paraId="12D87914" w14:textId="77777777" w:rsidR="002D4911" w:rsidRDefault="002D4911" w:rsidP="00F85125">
      <w:pPr>
        <w:tabs>
          <w:tab w:val="left" w:pos="1140"/>
        </w:tabs>
        <w:spacing w:after="0" w:line="240" w:lineRule="auto"/>
        <w:rPr>
          <w:sz w:val="24"/>
          <w:szCs w:val="24"/>
        </w:rPr>
      </w:pPr>
    </w:p>
    <w:p w14:paraId="651626EE" w14:textId="11CA79EC" w:rsidR="008D59BB" w:rsidRDefault="007D6321" w:rsidP="00F85125">
      <w:pPr>
        <w:tabs>
          <w:tab w:val="left" w:pos="1140"/>
        </w:tabs>
        <w:spacing w:after="0" w:line="240" w:lineRule="auto"/>
        <w:rPr>
          <w:sz w:val="24"/>
          <w:szCs w:val="24"/>
        </w:rPr>
      </w:pPr>
      <w:r>
        <w:rPr>
          <w:sz w:val="24"/>
          <w:szCs w:val="24"/>
        </w:rPr>
        <w:t xml:space="preserve">1) </w:t>
      </w:r>
      <w:proofErr w:type="gramStart"/>
      <w:r w:rsidR="008D59BB">
        <w:rPr>
          <w:sz w:val="24"/>
          <w:szCs w:val="24"/>
        </w:rPr>
        <w:t>e-mail</w:t>
      </w:r>
      <w:proofErr w:type="gramEnd"/>
      <w:r w:rsidR="008D59BB">
        <w:rPr>
          <w:sz w:val="24"/>
          <w:szCs w:val="24"/>
        </w:rPr>
        <w:t xml:space="preserve"> your grant manager to indicate you are receiving a PPP loan,</w:t>
      </w:r>
    </w:p>
    <w:p w14:paraId="5436A8E8" w14:textId="77777777" w:rsidR="008D59BB" w:rsidRDefault="008D59BB" w:rsidP="00F85125">
      <w:pPr>
        <w:tabs>
          <w:tab w:val="left" w:pos="1140"/>
        </w:tabs>
        <w:spacing w:after="0" w:line="240" w:lineRule="auto"/>
        <w:rPr>
          <w:sz w:val="24"/>
          <w:szCs w:val="24"/>
        </w:rPr>
      </w:pPr>
    </w:p>
    <w:p w14:paraId="5B162FA8" w14:textId="467C4F33" w:rsidR="006C3A1F" w:rsidRDefault="008D59BB" w:rsidP="00F85125">
      <w:pPr>
        <w:tabs>
          <w:tab w:val="left" w:pos="1140"/>
        </w:tabs>
        <w:spacing w:after="0" w:line="240" w:lineRule="auto"/>
        <w:rPr>
          <w:sz w:val="24"/>
          <w:szCs w:val="24"/>
        </w:rPr>
      </w:pPr>
      <w:r>
        <w:rPr>
          <w:sz w:val="24"/>
          <w:szCs w:val="24"/>
        </w:rPr>
        <w:t xml:space="preserve">2) </w:t>
      </w:r>
      <w:proofErr w:type="gramStart"/>
      <w:r w:rsidR="007D6321">
        <w:rPr>
          <w:sz w:val="24"/>
          <w:szCs w:val="24"/>
        </w:rPr>
        <w:t>clearly</w:t>
      </w:r>
      <w:proofErr w:type="gramEnd"/>
      <w:r w:rsidR="007D6321">
        <w:rPr>
          <w:sz w:val="24"/>
          <w:szCs w:val="24"/>
        </w:rPr>
        <w:t xml:space="preserve"> document the source of funding from which </w:t>
      </w:r>
      <w:r w:rsidR="005B17DF">
        <w:rPr>
          <w:sz w:val="24"/>
          <w:szCs w:val="24"/>
        </w:rPr>
        <w:t xml:space="preserve">each </w:t>
      </w:r>
      <w:r w:rsidR="007D6321">
        <w:rPr>
          <w:sz w:val="24"/>
          <w:szCs w:val="24"/>
        </w:rPr>
        <w:t xml:space="preserve">employee is being paid (to </w:t>
      </w:r>
      <w:r w:rsidR="00DA7AC3">
        <w:rPr>
          <w:sz w:val="24"/>
          <w:szCs w:val="24"/>
        </w:rPr>
        <w:t>avoid duplication and supplanting scenarios as detailed below)</w:t>
      </w:r>
      <w:r w:rsidR="006C3A1F">
        <w:rPr>
          <w:sz w:val="24"/>
          <w:szCs w:val="24"/>
        </w:rPr>
        <w:t>;</w:t>
      </w:r>
      <w:r w:rsidR="00DA7AC3">
        <w:rPr>
          <w:sz w:val="24"/>
          <w:szCs w:val="24"/>
        </w:rPr>
        <w:t xml:space="preserve"> </w:t>
      </w:r>
      <w:r w:rsidR="007D6321">
        <w:rPr>
          <w:sz w:val="24"/>
          <w:szCs w:val="24"/>
        </w:rPr>
        <w:t xml:space="preserve">and </w:t>
      </w:r>
    </w:p>
    <w:p w14:paraId="287B16DC" w14:textId="77777777" w:rsidR="002D4911" w:rsidRDefault="002D4911" w:rsidP="00F85125">
      <w:pPr>
        <w:tabs>
          <w:tab w:val="left" w:pos="1140"/>
        </w:tabs>
        <w:spacing w:after="0" w:line="240" w:lineRule="auto"/>
        <w:rPr>
          <w:sz w:val="24"/>
          <w:szCs w:val="24"/>
        </w:rPr>
      </w:pPr>
    </w:p>
    <w:p w14:paraId="677FF209" w14:textId="09D1E479" w:rsidR="00F85125" w:rsidRDefault="008D59BB" w:rsidP="00F85125">
      <w:pPr>
        <w:tabs>
          <w:tab w:val="left" w:pos="1140"/>
        </w:tabs>
        <w:spacing w:after="0" w:line="240" w:lineRule="auto"/>
        <w:rPr>
          <w:sz w:val="24"/>
          <w:szCs w:val="24"/>
        </w:rPr>
      </w:pPr>
      <w:r>
        <w:rPr>
          <w:sz w:val="24"/>
          <w:szCs w:val="24"/>
        </w:rPr>
        <w:t>3</w:t>
      </w:r>
      <w:r w:rsidR="007D6321">
        <w:rPr>
          <w:sz w:val="24"/>
          <w:szCs w:val="24"/>
        </w:rPr>
        <w:t xml:space="preserve">) </w:t>
      </w:r>
      <w:proofErr w:type="gramStart"/>
      <w:r w:rsidR="000A5082">
        <w:rPr>
          <w:sz w:val="24"/>
          <w:szCs w:val="24"/>
        </w:rPr>
        <w:t>also</w:t>
      </w:r>
      <w:proofErr w:type="gramEnd"/>
      <w:r w:rsidR="000A5082">
        <w:rPr>
          <w:sz w:val="24"/>
          <w:szCs w:val="24"/>
        </w:rPr>
        <w:t xml:space="preserve"> </w:t>
      </w:r>
      <w:r w:rsidR="00DA7AC3">
        <w:rPr>
          <w:sz w:val="24"/>
          <w:szCs w:val="24"/>
        </w:rPr>
        <w:t>cover</w:t>
      </w:r>
      <w:r w:rsidR="000A5082">
        <w:rPr>
          <w:sz w:val="24"/>
          <w:szCs w:val="24"/>
        </w:rPr>
        <w:t xml:space="preserve"> corresponding</w:t>
      </w:r>
      <w:r w:rsidR="00DA7AC3">
        <w:rPr>
          <w:sz w:val="24"/>
          <w:szCs w:val="24"/>
        </w:rPr>
        <w:t xml:space="preserve"> payroll taxes &amp; fringe </w:t>
      </w:r>
      <w:r w:rsidR="005B17DF">
        <w:rPr>
          <w:sz w:val="24"/>
          <w:szCs w:val="24"/>
        </w:rPr>
        <w:t xml:space="preserve">expenses </w:t>
      </w:r>
      <w:r w:rsidR="00DA7AC3">
        <w:rPr>
          <w:sz w:val="24"/>
          <w:szCs w:val="24"/>
        </w:rPr>
        <w:t>for employees being paid wit</w:t>
      </w:r>
      <w:r w:rsidR="000A5082">
        <w:rPr>
          <w:sz w:val="24"/>
          <w:szCs w:val="24"/>
        </w:rPr>
        <w:t>h</w:t>
      </w:r>
      <w:r w:rsidR="005B17DF">
        <w:rPr>
          <w:sz w:val="24"/>
          <w:szCs w:val="24"/>
        </w:rPr>
        <w:t xml:space="preserve"> PPP loan funding to keep proportionate salary vs. payroll taxes and fringe (i.e., VOCA funds cannot pay for payroll taxes and fringe for a position not paid with VOCA funds).</w:t>
      </w:r>
      <w:r w:rsidR="000A5082">
        <w:rPr>
          <w:sz w:val="24"/>
          <w:szCs w:val="24"/>
        </w:rPr>
        <w:t xml:space="preserve"> </w:t>
      </w:r>
    </w:p>
    <w:p w14:paraId="7E43D234" w14:textId="77777777" w:rsidR="000A5082" w:rsidRPr="00F85125" w:rsidRDefault="000A5082" w:rsidP="00F85125">
      <w:pPr>
        <w:tabs>
          <w:tab w:val="left" w:pos="1140"/>
        </w:tabs>
        <w:spacing w:after="0" w:line="240" w:lineRule="auto"/>
        <w:rPr>
          <w:sz w:val="24"/>
          <w:szCs w:val="24"/>
        </w:rPr>
      </w:pPr>
    </w:p>
    <w:p w14:paraId="68697544" w14:textId="77777777" w:rsidR="000A5082" w:rsidRDefault="00F85125" w:rsidP="00F85125">
      <w:pPr>
        <w:tabs>
          <w:tab w:val="left" w:pos="1140"/>
        </w:tabs>
        <w:spacing w:after="0" w:line="240" w:lineRule="auto"/>
        <w:rPr>
          <w:sz w:val="24"/>
          <w:szCs w:val="24"/>
        </w:rPr>
      </w:pPr>
      <w:r w:rsidRPr="00DA7AC3">
        <w:rPr>
          <w:b/>
          <w:sz w:val="24"/>
          <w:szCs w:val="24"/>
        </w:rPr>
        <w:t>Duplication</w:t>
      </w:r>
      <w:r w:rsidRPr="00F85125">
        <w:rPr>
          <w:sz w:val="24"/>
          <w:szCs w:val="24"/>
        </w:rPr>
        <w:t xml:space="preserve"> occurs w</w:t>
      </w:r>
      <w:r w:rsidR="00DA7AC3">
        <w:rPr>
          <w:sz w:val="24"/>
          <w:szCs w:val="24"/>
        </w:rPr>
        <w:t xml:space="preserve">hen the grantee </w:t>
      </w:r>
      <w:r w:rsidRPr="00F85125">
        <w:rPr>
          <w:sz w:val="24"/>
          <w:szCs w:val="24"/>
        </w:rPr>
        <w:t xml:space="preserve">uses </w:t>
      </w:r>
      <w:r w:rsidR="00DA7AC3">
        <w:rPr>
          <w:sz w:val="24"/>
          <w:szCs w:val="24"/>
        </w:rPr>
        <w:t>VOCA funds</w:t>
      </w:r>
      <w:r w:rsidRPr="00F85125">
        <w:rPr>
          <w:sz w:val="24"/>
          <w:szCs w:val="24"/>
        </w:rPr>
        <w:t xml:space="preserve"> to pay for specific costs already covered </w:t>
      </w:r>
      <w:r w:rsidR="00DA7AC3">
        <w:rPr>
          <w:sz w:val="24"/>
          <w:szCs w:val="24"/>
        </w:rPr>
        <w:t xml:space="preserve">by other sources.  </w:t>
      </w:r>
    </w:p>
    <w:p w14:paraId="3CB221A6" w14:textId="77777777" w:rsidR="000A5082" w:rsidRDefault="000A5082" w:rsidP="00F85125">
      <w:pPr>
        <w:tabs>
          <w:tab w:val="left" w:pos="1140"/>
        </w:tabs>
        <w:spacing w:after="0" w:line="240" w:lineRule="auto"/>
        <w:rPr>
          <w:sz w:val="24"/>
          <w:szCs w:val="24"/>
        </w:rPr>
      </w:pPr>
    </w:p>
    <w:p w14:paraId="7B857C05" w14:textId="77777777" w:rsidR="000E0FCB" w:rsidRPr="000E0FCB" w:rsidRDefault="000A5082" w:rsidP="000E0FCB">
      <w:pPr>
        <w:tabs>
          <w:tab w:val="left" w:pos="1140"/>
        </w:tabs>
        <w:spacing w:after="0" w:line="240" w:lineRule="auto"/>
        <w:rPr>
          <w:sz w:val="24"/>
          <w:szCs w:val="24"/>
        </w:rPr>
      </w:pPr>
      <w:r w:rsidRPr="000E0FCB">
        <w:rPr>
          <w:sz w:val="24"/>
          <w:szCs w:val="24"/>
        </w:rPr>
        <w:t>For example, i</w:t>
      </w:r>
      <w:r w:rsidR="00DA7AC3" w:rsidRPr="000E0FCB">
        <w:rPr>
          <w:sz w:val="24"/>
          <w:szCs w:val="24"/>
        </w:rPr>
        <w:t>f the grantee</w:t>
      </w:r>
      <w:r w:rsidR="00F85125" w:rsidRPr="000E0FCB">
        <w:rPr>
          <w:sz w:val="24"/>
          <w:szCs w:val="24"/>
        </w:rPr>
        <w:t xml:space="preserve"> pays a staff position from the PPP loan then </w:t>
      </w:r>
      <w:r w:rsidR="00DA7AC3" w:rsidRPr="000E0FCB">
        <w:rPr>
          <w:sz w:val="24"/>
          <w:szCs w:val="24"/>
        </w:rPr>
        <w:t>requests reimbursement on an FSR</w:t>
      </w:r>
      <w:r w:rsidR="00F85125" w:rsidRPr="000E0FCB">
        <w:rPr>
          <w:sz w:val="24"/>
          <w:szCs w:val="24"/>
        </w:rPr>
        <w:t xml:space="preserve"> to cover the same staff position, but never pays the loan back because i</w:t>
      </w:r>
      <w:r w:rsidR="00DA7AC3" w:rsidRPr="000E0FCB">
        <w:rPr>
          <w:sz w:val="24"/>
          <w:szCs w:val="24"/>
        </w:rPr>
        <w:t>t was forgiven, the grantee</w:t>
      </w:r>
      <w:r w:rsidR="00F85125" w:rsidRPr="000E0FCB">
        <w:rPr>
          <w:sz w:val="24"/>
          <w:szCs w:val="24"/>
        </w:rPr>
        <w:t xml:space="preserve"> may have duplicated costs (or otherwise made an improper</w:t>
      </w:r>
      <w:r w:rsidRPr="000E0FCB">
        <w:rPr>
          <w:sz w:val="24"/>
          <w:szCs w:val="24"/>
        </w:rPr>
        <w:t xml:space="preserve"> payment, see 2 C.F.R. 200.53)</w:t>
      </w:r>
      <w:r w:rsidR="000E0FCB" w:rsidRPr="000E0FCB">
        <w:rPr>
          <w:sz w:val="24"/>
          <w:szCs w:val="24"/>
        </w:rPr>
        <w:t xml:space="preserve">.  If the grantee pays back the loan, it would not be duplication. </w:t>
      </w:r>
    </w:p>
    <w:p w14:paraId="15EE8FEF" w14:textId="77777777" w:rsidR="006C3A1F" w:rsidRDefault="006C3A1F" w:rsidP="000A5082">
      <w:pPr>
        <w:tabs>
          <w:tab w:val="left" w:pos="1140"/>
        </w:tabs>
        <w:spacing w:after="0" w:line="240" w:lineRule="auto"/>
        <w:rPr>
          <w:sz w:val="24"/>
          <w:szCs w:val="24"/>
        </w:rPr>
      </w:pPr>
    </w:p>
    <w:p w14:paraId="52CDB43F" w14:textId="43F0ABA8" w:rsidR="00DA7AC3" w:rsidRPr="000A5082" w:rsidRDefault="000A5082" w:rsidP="000A5082">
      <w:pPr>
        <w:tabs>
          <w:tab w:val="left" w:pos="1140"/>
        </w:tabs>
        <w:spacing w:after="0" w:line="240" w:lineRule="auto"/>
        <w:rPr>
          <w:sz w:val="24"/>
          <w:szCs w:val="24"/>
        </w:rPr>
      </w:pPr>
      <w:r>
        <w:rPr>
          <w:sz w:val="24"/>
          <w:szCs w:val="24"/>
        </w:rPr>
        <w:t xml:space="preserve">If, however, </w:t>
      </w:r>
      <w:r w:rsidR="00F85125" w:rsidRPr="000A5082">
        <w:rPr>
          <w:sz w:val="24"/>
          <w:szCs w:val="24"/>
        </w:rPr>
        <w:t>the forgiven loan funds are allocated to a d</w:t>
      </w:r>
      <w:r>
        <w:rPr>
          <w:sz w:val="24"/>
          <w:szCs w:val="24"/>
        </w:rPr>
        <w:t>ifferent cost item, this would not be duplication.  For example:</w:t>
      </w:r>
    </w:p>
    <w:p w14:paraId="0C731FBA" w14:textId="7F8E5588" w:rsidR="00DA7AC3" w:rsidRDefault="00F85125" w:rsidP="00334FFB">
      <w:pPr>
        <w:pStyle w:val="ListParagraph"/>
        <w:numPr>
          <w:ilvl w:val="1"/>
          <w:numId w:val="6"/>
        </w:numPr>
        <w:tabs>
          <w:tab w:val="left" w:pos="1140"/>
        </w:tabs>
        <w:spacing w:after="0" w:line="240" w:lineRule="auto"/>
        <w:ind w:left="720"/>
        <w:rPr>
          <w:sz w:val="24"/>
          <w:szCs w:val="24"/>
        </w:rPr>
      </w:pPr>
      <w:r w:rsidRPr="00DA7AC3">
        <w:rPr>
          <w:sz w:val="24"/>
          <w:szCs w:val="24"/>
        </w:rPr>
        <w:t xml:space="preserve">The PPP loan paid salary for employee 1, but then </w:t>
      </w:r>
      <w:r w:rsidR="002D4911">
        <w:rPr>
          <w:sz w:val="24"/>
          <w:szCs w:val="24"/>
        </w:rPr>
        <w:t xml:space="preserve">was </w:t>
      </w:r>
      <w:r w:rsidRPr="00DA7AC3">
        <w:rPr>
          <w:sz w:val="24"/>
          <w:szCs w:val="24"/>
        </w:rPr>
        <w:t>reallocated to pay salary for employee 2, and the VOCA funds</w:t>
      </w:r>
      <w:r w:rsidR="002D4911">
        <w:rPr>
          <w:sz w:val="24"/>
          <w:szCs w:val="24"/>
        </w:rPr>
        <w:t xml:space="preserve"> were used</w:t>
      </w:r>
      <w:r w:rsidRPr="00DA7AC3">
        <w:rPr>
          <w:sz w:val="24"/>
          <w:szCs w:val="24"/>
        </w:rPr>
        <w:t xml:space="preserve"> to pay for employee 1.</w:t>
      </w:r>
    </w:p>
    <w:p w14:paraId="762C4F1E" w14:textId="77777777" w:rsidR="00F85125" w:rsidRPr="00F85125" w:rsidRDefault="00F85125" w:rsidP="00F85125">
      <w:pPr>
        <w:tabs>
          <w:tab w:val="left" w:pos="1140"/>
        </w:tabs>
        <w:spacing w:after="0" w:line="240" w:lineRule="auto"/>
        <w:rPr>
          <w:sz w:val="24"/>
          <w:szCs w:val="24"/>
        </w:rPr>
      </w:pPr>
    </w:p>
    <w:p w14:paraId="650170EA" w14:textId="643D3637" w:rsidR="00DA7AC3" w:rsidRDefault="00F85125" w:rsidP="00F85125">
      <w:pPr>
        <w:tabs>
          <w:tab w:val="left" w:pos="1140"/>
        </w:tabs>
        <w:spacing w:after="0" w:line="240" w:lineRule="auto"/>
        <w:rPr>
          <w:sz w:val="24"/>
          <w:szCs w:val="24"/>
        </w:rPr>
      </w:pPr>
      <w:r w:rsidRPr="00DA7AC3">
        <w:rPr>
          <w:b/>
          <w:sz w:val="24"/>
          <w:szCs w:val="24"/>
        </w:rPr>
        <w:t>Supplanting</w:t>
      </w:r>
      <w:r w:rsidRPr="00F85125">
        <w:rPr>
          <w:sz w:val="24"/>
          <w:szCs w:val="24"/>
        </w:rPr>
        <w:t xml:space="preserve"> occurs when a </w:t>
      </w:r>
      <w:r w:rsidR="00DA7AC3">
        <w:rPr>
          <w:sz w:val="24"/>
          <w:szCs w:val="24"/>
        </w:rPr>
        <w:t>grantee</w:t>
      </w:r>
      <w:r w:rsidRPr="00F85125">
        <w:rPr>
          <w:sz w:val="24"/>
          <w:szCs w:val="24"/>
        </w:rPr>
        <w:t xml:space="preserve"> intentionally replaces its other state or local victim service funding sources w</w:t>
      </w:r>
      <w:r w:rsidR="00DA7AC3">
        <w:rPr>
          <w:sz w:val="24"/>
          <w:szCs w:val="24"/>
        </w:rPr>
        <w:t>ith VOCA funding.</w:t>
      </w:r>
      <w:r w:rsidR="000A5082">
        <w:rPr>
          <w:sz w:val="24"/>
          <w:szCs w:val="24"/>
        </w:rPr>
        <w:t xml:space="preserve">  With regard to PPP, however, the following scenarios would not be supplanting:</w:t>
      </w:r>
    </w:p>
    <w:p w14:paraId="0E8959CE" w14:textId="77777777" w:rsidR="00DA7AC3" w:rsidRDefault="00DA7AC3" w:rsidP="00F85125">
      <w:pPr>
        <w:pStyle w:val="ListParagraph"/>
        <w:numPr>
          <w:ilvl w:val="0"/>
          <w:numId w:val="6"/>
        </w:numPr>
        <w:tabs>
          <w:tab w:val="left" w:pos="1140"/>
        </w:tabs>
        <w:spacing w:after="0" w:line="240" w:lineRule="auto"/>
        <w:rPr>
          <w:sz w:val="24"/>
          <w:szCs w:val="24"/>
        </w:rPr>
      </w:pPr>
      <w:r>
        <w:rPr>
          <w:sz w:val="24"/>
          <w:szCs w:val="24"/>
        </w:rPr>
        <w:t xml:space="preserve">If a grantee </w:t>
      </w:r>
      <w:r w:rsidR="00F85125" w:rsidRPr="00DA7AC3">
        <w:rPr>
          <w:sz w:val="24"/>
          <w:szCs w:val="24"/>
        </w:rPr>
        <w:t xml:space="preserve">uses VOCA funds to replace a PPP loan, then repays that loan instead of keeping the loan funds under the forgiveness provisions, it would not be supplanting.  </w:t>
      </w:r>
    </w:p>
    <w:p w14:paraId="78FCBB54" w14:textId="013B1F75" w:rsidR="00F85125" w:rsidRPr="00673058" w:rsidRDefault="000A5082" w:rsidP="00F85125">
      <w:pPr>
        <w:pStyle w:val="ListParagraph"/>
        <w:numPr>
          <w:ilvl w:val="0"/>
          <w:numId w:val="6"/>
        </w:numPr>
        <w:tabs>
          <w:tab w:val="left" w:pos="1140"/>
        </w:tabs>
        <w:spacing w:after="0" w:line="240" w:lineRule="auto"/>
        <w:rPr>
          <w:sz w:val="24"/>
          <w:szCs w:val="24"/>
        </w:rPr>
      </w:pPr>
      <w:r>
        <w:rPr>
          <w:sz w:val="24"/>
          <w:szCs w:val="24"/>
        </w:rPr>
        <w:t>If a grantee</w:t>
      </w:r>
      <w:r w:rsidR="00F85125" w:rsidRPr="00DA7AC3">
        <w:rPr>
          <w:sz w:val="24"/>
          <w:szCs w:val="24"/>
        </w:rPr>
        <w:t xml:space="preserve"> uses VOCA funds to replace a PPP loan, then uses those loan funds for another </w:t>
      </w:r>
      <w:r>
        <w:rPr>
          <w:sz w:val="24"/>
          <w:szCs w:val="24"/>
        </w:rPr>
        <w:t xml:space="preserve">eligible PPP </w:t>
      </w:r>
      <w:r w:rsidR="00F85125" w:rsidRPr="00DA7AC3">
        <w:rPr>
          <w:sz w:val="24"/>
          <w:szCs w:val="24"/>
        </w:rPr>
        <w:t xml:space="preserve">expense (whether the loan is forgiven or not), it typically would not be supplanting because PPP funding is not specifically designated for victim service purposes.  </w:t>
      </w:r>
    </w:p>
    <w:p w14:paraId="12AB740A" w14:textId="77777777" w:rsidR="00F85125" w:rsidRDefault="00F85125" w:rsidP="00F85125">
      <w:pPr>
        <w:tabs>
          <w:tab w:val="left" w:pos="1140"/>
        </w:tabs>
        <w:spacing w:after="0" w:line="240" w:lineRule="auto"/>
        <w:rPr>
          <w:sz w:val="24"/>
          <w:szCs w:val="24"/>
        </w:rPr>
      </w:pPr>
    </w:p>
    <w:p w14:paraId="40FED1B6" w14:textId="77777777" w:rsidR="002F6D13" w:rsidRDefault="002F6D13" w:rsidP="00F85125">
      <w:pPr>
        <w:spacing w:after="0" w:line="240" w:lineRule="auto"/>
        <w:rPr>
          <w:sz w:val="24"/>
          <w:szCs w:val="24"/>
        </w:rPr>
      </w:pPr>
    </w:p>
    <w:p w14:paraId="21315E88" w14:textId="03877F73" w:rsidR="00C41EDB" w:rsidRPr="00F85125" w:rsidRDefault="00C41EDB" w:rsidP="00F85125">
      <w:pPr>
        <w:spacing w:after="0" w:line="240" w:lineRule="auto"/>
        <w:rPr>
          <w:b/>
          <w:color w:val="FF0000"/>
          <w:sz w:val="24"/>
          <w:szCs w:val="24"/>
          <w:u w:val="single"/>
        </w:rPr>
      </w:pPr>
      <w:r w:rsidRPr="00F85125">
        <w:rPr>
          <w:b/>
          <w:color w:val="FF0000"/>
          <w:sz w:val="24"/>
          <w:szCs w:val="24"/>
          <w:u w:val="single"/>
        </w:rPr>
        <w:t>March 30, 2020</w:t>
      </w:r>
    </w:p>
    <w:p w14:paraId="6C6E000B" w14:textId="77777777" w:rsidR="00F85125" w:rsidRPr="00C41EDB" w:rsidRDefault="00F85125" w:rsidP="00F85125">
      <w:pPr>
        <w:spacing w:after="0" w:line="240" w:lineRule="auto"/>
        <w:rPr>
          <w:color w:val="FF0000"/>
          <w:sz w:val="24"/>
          <w:szCs w:val="24"/>
          <w:u w:val="single"/>
        </w:rPr>
      </w:pPr>
    </w:p>
    <w:p w14:paraId="40604FDD" w14:textId="3F3AE357" w:rsidR="00F04323" w:rsidRDefault="00A77A11" w:rsidP="00F85125">
      <w:pPr>
        <w:spacing w:after="0" w:line="240" w:lineRule="auto"/>
        <w:rPr>
          <w:sz w:val="24"/>
          <w:szCs w:val="24"/>
        </w:rPr>
      </w:pPr>
      <w:r>
        <w:rPr>
          <w:sz w:val="24"/>
          <w:szCs w:val="24"/>
        </w:rPr>
        <w:t xml:space="preserve">We want to sincerely </w:t>
      </w:r>
      <w:r w:rsidR="00CC2B99">
        <w:rPr>
          <w:sz w:val="24"/>
          <w:szCs w:val="24"/>
        </w:rPr>
        <w:t xml:space="preserve">thank you and your staff for the diligent and creative ways you are finding to continue your work on behalf of crime victims during this time of uncertainty and difficulty. </w:t>
      </w:r>
    </w:p>
    <w:p w14:paraId="64929103" w14:textId="51306815" w:rsidR="00A64373" w:rsidRDefault="00CC2B99" w:rsidP="00F04323">
      <w:pPr>
        <w:rPr>
          <w:sz w:val="24"/>
          <w:szCs w:val="24"/>
        </w:rPr>
      </w:pPr>
      <w:r>
        <w:rPr>
          <w:sz w:val="24"/>
          <w:szCs w:val="24"/>
        </w:rPr>
        <w:t xml:space="preserve">OJP has received further </w:t>
      </w:r>
      <w:r w:rsidR="00A64373">
        <w:rPr>
          <w:sz w:val="24"/>
          <w:szCs w:val="24"/>
        </w:rPr>
        <w:t xml:space="preserve">information </w:t>
      </w:r>
      <w:r>
        <w:rPr>
          <w:sz w:val="24"/>
          <w:szCs w:val="24"/>
        </w:rPr>
        <w:t>regarding use of federal and st</w:t>
      </w:r>
      <w:r w:rsidR="00A64373">
        <w:rPr>
          <w:sz w:val="24"/>
          <w:szCs w:val="24"/>
        </w:rPr>
        <w:t>ate grant funds.  Please pay attention to the guidance below:</w:t>
      </w:r>
    </w:p>
    <w:p w14:paraId="5DBF4DD6" w14:textId="48E8F098" w:rsidR="00A64373" w:rsidRDefault="00A64373" w:rsidP="00A64373">
      <w:pPr>
        <w:pStyle w:val="ListParagraph"/>
        <w:numPr>
          <w:ilvl w:val="0"/>
          <w:numId w:val="2"/>
        </w:numPr>
        <w:rPr>
          <w:sz w:val="24"/>
          <w:szCs w:val="24"/>
        </w:rPr>
      </w:pPr>
      <w:r w:rsidRPr="00A64373">
        <w:rPr>
          <w:b/>
          <w:sz w:val="24"/>
          <w:szCs w:val="24"/>
        </w:rPr>
        <w:lastRenderedPageBreak/>
        <w:t>Grant Payments:</w:t>
      </w:r>
      <w:r>
        <w:rPr>
          <w:sz w:val="24"/>
          <w:szCs w:val="24"/>
        </w:rPr>
        <w:t xml:space="preserve">  </w:t>
      </w:r>
      <w:r w:rsidRPr="00A64373">
        <w:rPr>
          <w:sz w:val="24"/>
          <w:szCs w:val="24"/>
        </w:rPr>
        <w:t>OJP staff and Egrants will remain in service to accept, approve, and process Financial Status Reports.</w:t>
      </w:r>
    </w:p>
    <w:p w14:paraId="2B62C406" w14:textId="77777777" w:rsidR="00A64373" w:rsidRPr="00A64373" w:rsidRDefault="00A64373" w:rsidP="00A64373">
      <w:pPr>
        <w:pStyle w:val="ListParagraph"/>
        <w:rPr>
          <w:sz w:val="24"/>
          <w:szCs w:val="24"/>
        </w:rPr>
      </w:pPr>
    </w:p>
    <w:p w14:paraId="07448C0E" w14:textId="77777777" w:rsidR="00F3634C" w:rsidRPr="0038243A" w:rsidRDefault="00F3634C" w:rsidP="00F3634C">
      <w:pPr>
        <w:pStyle w:val="ListParagraph"/>
        <w:numPr>
          <w:ilvl w:val="0"/>
          <w:numId w:val="2"/>
        </w:numPr>
        <w:rPr>
          <w:sz w:val="24"/>
          <w:szCs w:val="24"/>
        </w:rPr>
      </w:pPr>
      <w:r w:rsidRPr="0038243A">
        <w:rPr>
          <w:b/>
          <w:sz w:val="24"/>
          <w:szCs w:val="24"/>
        </w:rPr>
        <w:t>Performance measurement reporting</w:t>
      </w:r>
      <w:r>
        <w:rPr>
          <w:b/>
          <w:sz w:val="24"/>
          <w:szCs w:val="24"/>
        </w:rPr>
        <w:t xml:space="preserve"> (PMT)</w:t>
      </w:r>
      <w:r w:rsidRPr="0038243A">
        <w:rPr>
          <w:b/>
          <w:sz w:val="24"/>
          <w:szCs w:val="24"/>
        </w:rPr>
        <w:t xml:space="preserve">:  </w:t>
      </w:r>
      <w:r w:rsidRPr="0038243A">
        <w:rPr>
          <w:sz w:val="24"/>
          <w:szCs w:val="24"/>
        </w:rPr>
        <w:t xml:space="preserve">For grantees unable to meet </w:t>
      </w:r>
      <w:r>
        <w:rPr>
          <w:sz w:val="24"/>
          <w:szCs w:val="24"/>
        </w:rPr>
        <w:t xml:space="preserve">the </w:t>
      </w:r>
      <w:r w:rsidRPr="0038243A">
        <w:rPr>
          <w:sz w:val="24"/>
          <w:szCs w:val="24"/>
        </w:rPr>
        <w:t>original due</w:t>
      </w:r>
      <w:r>
        <w:rPr>
          <w:sz w:val="24"/>
          <w:szCs w:val="24"/>
        </w:rPr>
        <w:t xml:space="preserve"> date of April 30</w:t>
      </w:r>
      <w:r w:rsidRPr="0038243A">
        <w:rPr>
          <w:sz w:val="24"/>
          <w:szCs w:val="24"/>
          <w:vertAlign w:val="superscript"/>
        </w:rPr>
        <w:t>th</w:t>
      </w:r>
      <w:r>
        <w:rPr>
          <w:sz w:val="24"/>
          <w:szCs w:val="24"/>
        </w:rPr>
        <w:t xml:space="preserve">, </w:t>
      </w:r>
      <w:r w:rsidRPr="0038243A">
        <w:rPr>
          <w:sz w:val="24"/>
          <w:szCs w:val="24"/>
        </w:rPr>
        <w:t xml:space="preserve">OJP is allowing delayed submission of PMT reports </w:t>
      </w:r>
      <w:r>
        <w:rPr>
          <w:sz w:val="24"/>
          <w:szCs w:val="24"/>
        </w:rPr>
        <w:t xml:space="preserve">to </w:t>
      </w:r>
      <w:r w:rsidRPr="0038243A">
        <w:rPr>
          <w:sz w:val="24"/>
          <w:szCs w:val="24"/>
        </w:rPr>
        <w:t>June 15</w:t>
      </w:r>
      <w:r w:rsidRPr="0038243A">
        <w:rPr>
          <w:sz w:val="24"/>
          <w:szCs w:val="24"/>
          <w:vertAlign w:val="superscript"/>
        </w:rPr>
        <w:t>th</w:t>
      </w:r>
      <w:r w:rsidRPr="0038243A">
        <w:rPr>
          <w:sz w:val="24"/>
          <w:szCs w:val="24"/>
        </w:rPr>
        <w:t>, 2020</w:t>
      </w:r>
      <w:r>
        <w:rPr>
          <w:sz w:val="24"/>
          <w:szCs w:val="24"/>
        </w:rPr>
        <w:t>.</w:t>
      </w:r>
    </w:p>
    <w:p w14:paraId="2C17CBAD" w14:textId="77777777" w:rsidR="00A64373" w:rsidRPr="00A64373" w:rsidRDefault="00A64373" w:rsidP="00A64373">
      <w:pPr>
        <w:pStyle w:val="ListParagraph"/>
        <w:rPr>
          <w:sz w:val="24"/>
          <w:szCs w:val="24"/>
        </w:rPr>
      </w:pPr>
    </w:p>
    <w:p w14:paraId="08413708" w14:textId="061EE1A4" w:rsidR="00A64373" w:rsidRPr="00A64373" w:rsidRDefault="00A64373" w:rsidP="00CB5122">
      <w:pPr>
        <w:pStyle w:val="ListParagraph"/>
        <w:numPr>
          <w:ilvl w:val="0"/>
          <w:numId w:val="2"/>
        </w:numPr>
        <w:rPr>
          <w:sz w:val="24"/>
          <w:szCs w:val="24"/>
        </w:rPr>
      </w:pPr>
      <w:r w:rsidRPr="00A64373">
        <w:rPr>
          <w:b/>
          <w:sz w:val="24"/>
          <w:szCs w:val="24"/>
        </w:rPr>
        <w:t>Programmatic and financial monitoring:</w:t>
      </w:r>
      <w:r w:rsidRPr="00A64373">
        <w:rPr>
          <w:sz w:val="24"/>
          <w:szCs w:val="24"/>
        </w:rPr>
        <w:t xml:space="preserve"> </w:t>
      </w:r>
      <w:r>
        <w:rPr>
          <w:sz w:val="24"/>
          <w:szCs w:val="24"/>
        </w:rPr>
        <w:t xml:space="preserve"> </w:t>
      </w:r>
      <w:r w:rsidRPr="00A64373">
        <w:rPr>
          <w:sz w:val="24"/>
          <w:szCs w:val="24"/>
        </w:rPr>
        <w:t>Until otherwise notified, all programmatic monitoring</w:t>
      </w:r>
      <w:r w:rsidR="00A77A11">
        <w:rPr>
          <w:sz w:val="24"/>
          <w:szCs w:val="24"/>
        </w:rPr>
        <w:t xml:space="preserve"> (including monitoring and comprehensive site visits)</w:t>
      </w:r>
      <w:r w:rsidRPr="00A64373">
        <w:rPr>
          <w:sz w:val="24"/>
          <w:szCs w:val="24"/>
        </w:rPr>
        <w:t xml:space="preserve"> will be conducted remotely. </w:t>
      </w:r>
      <w:r>
        <w:rPr>
          <w:sz w:val="24"/>
          <w:szCs w:val="24"/>
        </w:rPr>
        <w:t xml:space="preserve"> </w:t>
      </w:r>
      <w:r w:rsidRPr="00A64373">
        <w:rPr>
          <w:sz w:val="24"/>
          <w:szCs w:val="24"/>
        </w:rPr>
        <w:t>If your organization is unable to participate in remote monitoring due to operational limitations, you may request postponement until a later date.</w:t>
      </w:r>
    </w:p>
    <w:p w14:paraId="57F503C4" w14:textId="77777777" w:rsidR="00A64373" w:rsidRDefault="00A64373" w:rsidP="00A64373">
      <w:pPr>
        <w:pStyle w:val="ListParagraph"/>
        <w:rPr>
          <w:sz w:val="24"/>
          <w:szCs w:val="24"/>
        </w:rPr>
      </w:pPr>
    </w:p>
    <w:p w14:paraId="579A4A8D" w14:textId="53869560" w:rsidR="00FB4345" w:rsidRDefault="00FB4345" w:rsidP="00FB4345">
      <w:pPr>
        <w:pStyle w:val="ListParagraph"/>
        <w:numPr>
          <w:ilvl w:val="0"/>
          <w:numId w:val="2"/>
        </w:numPr>
        <w:rPr>
          <w:sz w:val="24"/>
          <w:szCs w:val="24"/>
        </w:rPr>
      </w:pPr>
      <w:r w:rsidRPr="00BB26D7">
        <w:rPr>
          <w:sz w:val="24"/>
          <w:szCs w:val="24"/>
        </w:rPr>
        <w:t>OJP encourages grantees to review</w:t>
      </w:r>
      <w:r>
        <w:rPr>
          <w:sz w:val="24"/>
          <w:szCs w:val="24"/>
        </w:rPr>
        <w:t xml:space="preserve"> and update (if necessary) your</w:t>
      </w:r>
      <w:r w:rsidRPr="00BB26D7">
        <w:rPr>
          <w:sz w:val="24"/>
          <w:szCs w:val="24"/>
        </w:rPr>
        <w:t xml:space="preserve"> written leave policies to address “unexpected or extraordinary circumst</w:t>
      </w:r>
      <w:r w:rsidRPr="00CC2B99">
        <w:rPr>
          <w:sz w:val="24"/>
          <w:szCs w:val="24"/>
        </w:rPr>
        <w:t xml:space="preserve">ances.” </w:t>
      </w:r>
      <w:r>
        <w:rPr>
          <w:sz w:val="24"/>
          <w:szCs w:val="24"/>
        </w:rPr>
        <w:t xml:space="preserve"> G</w:t>
      </w:r>
      <w:r w:rsidRPr="00CC2B99">
        <w:rPr>
          <w:sz w:val="24"/>
          <w:szCs w:val="24"/>
        </w:rPr>
        <w:t>rantees may continue to charg</w:t>
      </w:r>
      <w:r>
        <w:rPr>
          <w:sz w:val="24"/>
          <w:szCs w:val="24"/>
        </w:rPr>
        <w:t>e salaries and benefits to your</w:t>
      </w:r>
      <w:r w:rsidRPr="00CC2B99">
        <w:rPr>
          <w:sz w:val="24"/>
          <w:szCs w:val="24"/>
        </w:rPr>
        <w:t xml:space="preserve"> grants consistent with your policy of paying salaries and benefits under unexpected or extraordinary circumstances from all funding sources (Federal and </w:t>
      </w:r>
      <w:r w:rsidRPr="00FF2B55">
        <w:rPr>
          <w:sz w:val="24"/>
          <w:szCs w:val="24"/>
        </w:rPr>
        <w:t>non-Federal).</w:t>
      </w:r>
      <w:r w:rsidRPr="00CC2B99">
        <w:rPr>
          <w:sz w:val="24"/>
          <w:szCs w:val="24"/>
        </w:rPr>
        <w:t xml:space="preserve"> </w:t>
      </w:r>
      <w:r>
        <w:rPr>
          <w:sz w:val="24"/>
          <w:szCs w:val="24"/>
        </w:rPr>
        <w:t xml:space="preserve"> </w:t>
      </w:r>
      <w:r>
        <w:rPr>
          <w:color w:val="000000"/>
          <w:sz w:val="24"/>
          <w:szCs w:val="24"/>
        </w:rPr>
        <w:t>L</w:t>
      </w:r>
      <w:r w:rsidRPr="00CC2B99">
        <w:rPr>
          <w:sz w:val="24"/>
          <w:szCs w:val="24"/>
        </w:rPr>
        <w:t>eave</w:t>
      </w:r>
      <w:r>
        <w:rPr>
          <w:sz w:val="24"/>
          <w:szCs w:val="24"/>
        </w:rPr>
        <w:t xml:space="preserve"> expenses may also include </w:t>
      </w:r>
      <w:r w:rsidRPr="00CC2B99">
        <w:rPr>
          <w:sz w:val="24"/>
          <w:szCs w:val="24"/>
        </w:rPr>
        <w:t xml:space="preserve">regular compensation paid to employees during periods of authorized absences from the job, such as annual leave, family-related leave, sick leave, administrative leave, </w:t>
      </w:r>
      <w:r>
        <w:rPr>
          <w:sz w:val="24"/>
          <w:szCs w:val="24"/>
        </w:rPr>
        <w:t>and other similar benefits</w:t>
      </w:r>
      <w:r w:rsidRPr="00CC2B99">
        <w:rPr>
          <w:sz w:val="24"/>
          <w:szCs w:val="24"/>
        </w:rPr>
        <w:t xml:space="preserve">, </w:t>
      </w:r>
      <w:r>
        <w:rPr>
          <w:sz w:val="24"/>
          <w:szCs w:val="24"/>
          <w:u w:val="single"/>
        </w:rPr>
        <w:t>as long as you follow your</w:t>
      </w:r>
      <w:r w:rsidRPr="00CC2B99">
        <w:rPr>
          <w:sz w:val="24"/>
          <w:szCs w:val="24"/>
          <w:u w:val="single"/>
        </w:rPr>
        <w:t xml:space="preserve"> agency’</w:t>
      </w:r>
      <w:r>
        <w:rPr>
          <w:sz w:val="24"/>
          <w:szCs w:val="24"/>
          <w:u w:val="single"/>
        </w:rPr>
        <w:t>s</w:t>
      </w:r>
      <w:r w:rsidRPr="00CC2B99">
        <w:rPr>
          <w:sz w:val="24"/>
          <w:szCs w:val="24"/>
          <w:u w:val="single"/>
        </w:rPr>
        <w:t xml:space="preserve"> written leave policies</w:t>
      </w:r>
      <w:r>
        <w:rPr>
          <w:sz w:val="24"/>
          <w:szCs w:val="24"/>
          <w:u w:val="single"/>
        </w:rPr>
        <w:t xml:space="preserve">, as approved by the </w:t>
      </w:r>
      <w:r w:rsidRPr="00CC2B99">
        <w:rPr>
          <w:sz w:val="24"/>
          <w:szCs w:val="24"/>
          <w:u w:val="single"/>
        </w:rPr>
        <w:t>Board of Director</w:t>
      </w:r>
      <w:r>
        <w:rPr>
          <w:sz w:val="24"/>
          <w:szCs w:val="24"/>
          <w:u w:val="single"/>
        </w:rPr>
        <w:t>s</w:t>
      </w:r>
      <w:r w:rsidRPr="00BB26D7">
        <w:rPr>
          <w:sz w:val="24"/>
          <w:szCs w:val="24"/>
        </w:rPr>
        <w:t xml:space="preserve"> (or county/city board for government-based agencies).</w:t>
      </w:r>
    </w:p>
    <w:p w14:paraId="552AD56B" w14:textId="77777777" w:rsidR="00FB4345" w:rsidRPr="00BB26D7" w:rsidRDefault="00FB4345" w:rsidP="00FB4345">
      <w:pPr>
        <w:pStyle w:val="ListParagraph"/>
        <w:rPr>
          <w:color w:val="000000"/>
          <w:sz w:val="24"/>
          <w:szCs w:val="24"/>
        </w:rPr>
      </w:pPr>
    </w:p>
    <w:p w14:paraId="0EB7E0F8" w14:textId="4B95364C" w:rsidR="0055225B" w:rsidRPr="00FB4345" w:rsidRDefault="00FB4345" w:rsidP="00FB4345">
      <w:pPr>
        <w:pStyle w:val="ListParagraph"/>
        <w:rPr>
          <w:color w:val="000000"/>
          <w:sz w:val="24"/>
          <w:szCs w:val="24"/>
        </w:rPr>
      </w:pPr>
      <w:r>
        <w:rPr>
          <w:color w:val="000000"/>
          <w:sz w:val="24"/>
          <w:szCs w:val="24"/>
        </w:rPr>
        <w:t xml:space="preserve">Leave may include payment for </w:t>
      </w:r>
      <w:r w:rsidR="00257405">
        <w:rPr>
          <w:color w:val="000000"/>
          <w:sz w:val="24"/>
          <w:szCs w:val="24"/>
        </w:rPr>
        <w:t>COVID</w:t>
      </w:r>
      <w:r w:rsidRPr="00BB26D7">
        <w:rPr>
          <w:color w:val="000000"/>
          <w:sz w:val="24"/>
          <w:szCs w:val="24"/>
        </w:rPr>
        <w:t xml:space="preserve">-19 related </w:t>
      </w:r>
      <w:r>
        <w:rPr>
          <w:color w:val="000000"/>
          <w:sz w:val="24"/>
          <w:szCs w:val="24"/>
        </w:rPr>
        <w:t>leave,</w:t>
      </w:r>
      <w:r w:rsidRPr="00BB26D7">
        <w:rPr>
          <w:color w:val="000000"/>
          <w:sz w:val="24"/>
          <w:szCs w:val="24"/>
        </w:rPr>
        <w:t xml:space="preserve"> including that required under the Coronavirus Response Act - Part I, </w:t>
      </w:r>
      <w:r>
        <w:rPr>
          <w:color w:val="000000"/>
          <w:sz w:val="24"/>
          <w:szCs w:val="24"/>
        </w:rPr>
        <w:t xml:space="preserve">which allows leave </w:t>
      </w:r>
      <w:r w:rsidRPr="00BB26D7">
        <w:rPr>
          <w:color w:val="000000"/>
          <w:sz w:val="24"/>
          <w:szCs w:val="24"/>
        </w:rPr>
        <w:t xml:space="preserve">without utilizing </w:t>
      </w:r>
      <w:r>
        <w:rPr>
          <w:color w:val="000000"/>
          <w:sz w:val="24"/>
          <w:szCs w:val="24"/>
        </w:rPr>
        <w:t xml:space="preserve">one’s </w:t>
      </w:r>
      <w:r w:rsidRPr="00BB26D7">
        <w:rPr>
          <w:color w:val="000000"/>
          <w:sz w:val="24"/>
          <w:szCs w:val="24"/>
        </w:rPr>
        <w:t>accrued PTO.</w:t>
      </w:r>
      <w:r>
        <w:rPr>
          <w:color w:val="000000"/>
          <w:sz w:val="24"/>
          <w:szCs w:val="24"/>
        </w:rPr>
        <w:t xml:space="preserve">  However, there are specific requirements to using funds this way.  For further detail see the attached form for employee-requested leave. </w:t>
      </w:r>
      <w:r w:rsidRPr="00BB26D7">
        <w:rPr>
          <w:color w:val="000000"/>
          <w:sz w:val="24"/>
          <w:szCs w:val="24"/>
        </w:rPr>
        <w:t xml:space="preserve"> </w:t>
      </w:r>
      <w:r w:rsidRPr="00FB4345">
        <w:rPr>
          <w:sz w:val="24"/>
          <w:szCs w:val="24"/>
        </w:rPr>
        <w:t>Please note that all</w:t>
      </w:r>
      <w:r w:rsidR="00F3634C" w:rsidRPr="00FB4345">
        <w:rPr>
          <w:sz w:val="24"/>
          <w:szCs w:val="24"/>
        </w:rPr>
        <w:t xml:space="preserve"> </w:t>
      </w:r>
      <w:r w:rsidRPr="00FB4345">
        <w:rPr>
          <w:sz w:val="24"/>
          <w:szCs w:val="24"/>
        </w:rPr>
        <w:t>l</w:t>
      </w:r>
      <w:r w:rsidR="00BB19D2" w:rsidRPr="00FB4345">
        <w:rPr>
          <w:color w:val="000000"/>
          <w:sz w:val="24"/>
          <w:szCs w:val="24"/>
        </w:rPr>
        <w:t xml:space="preserve">eave time used must be reflected on the employee’s time and effort log and/or timesheet. </w:t>
      </w:r>
    </w:p>
    <w:p w14:paraId="6008F629" w14:textId="77777777" w:rsidR="00FB4345" w:rsidRDefault="00FB4345" w:rsidP="0055225B">
      <w:pPr>
        <w:pStyle w:val="ListParagraph"/>
        <w:rPr>
          <w:color w:val="000000"/>
          <w:sz w:val="24"/>
          <w:szCs w:val="24"/>
        </w:rPr>
      </w:pPr>
    </w:p>
    <w:p w14:paraId="24F2BEBD" w14:textId="52D86BDE" w:rsidR="0055225B" w:rsidRDefault="0055225B" w:rsidP="0055225B">
      <w:pPr>
        <w:pStyle w:val="ListParagraph"/>
        <w:rPr>
          <w:b/>
          <w:color w:val="000000"/>
          <w:sz w:val="24"/>
          <w:szCs w:val="24"/>
          <w:u w:val="single"/>
        </w:rPr>
      </w:pPr>
      <w:r w:rsidRPr="00D30EA9">
        <w:rPr>
          <w:b/>
          <w:color w:val="000000"/>
          <w:sz w:val="24"/>
          <w:szCs w:val="24"/>
          <w:u w:val="single"/>
        </w:rPr>
        <w:t>If you plan to charge COVID-19 related leave to your OJP grant</w:t>
      </w:r>
      <w:r w:rsidR="00245E47" w:rsidRPr="00D30EA9">
        <w:rPr>
          <w:b/>
          <w:color w:val="000000"/>
          <w:sz w:val="24"/>
          <w:szCs w:val="24"/>
          <w:u w:val="single"/>
        </w:rPr>
        <w:t>, agencies must</w:t>
      </w:r>
      <w:r w:rsidRPr="00D30EA9">
        <w:rPr>
          <w:b/>
          <w:color w:val="000000"/>
          <w:sz w:val="24"/>
          <w:szCs w:val="24"/>
          <w:u w:val="single"/>
        </w:rPr>
        <w:t xml:space="preserve">: </w:t>
      </w:r>
    </w:p>
    <w:p w14:paraId="53AF0FD8" w14:textId="77777777" w:rsidR="00FB4345" w:rsidRPr="00D30EA9" w:rsidRDefault="00FB4345" w:rsidP="0055225B">
      <w:pPr>
        <w:pStyle w:val="ListParagraph"/>
        <w:rPr>
          <w:b/>
          <w:color w:val="000000"/>
          <w:sz w:val="24"/>
          <w:szCs w:val="24"/>
          <w:u w:val="single"/>
        </w:rPr>
      </w:pPr>
    </w:p>
    <w:p w14:paraId="384255D5" w14:textId="632F40DE" w:rsidR="00FB4345" w:rsidRDefault="00245E47" w:rsidP="00FB4345">
      <w:pPr>
        <w:pStyle w:val="ListParagraph"/>
        <w:numPr>
          <w:ilvl w:val="0"/>
          <w:numId w:val="5"/>
        </w:numPr>
        <w:rPr>
          <w:color w:val="000000"/>
          <w:sz w:val="24"/>
          <w:szCs w:val="24"/>
        </w:rPr>
      </w:pPr>
      <w:r>
        <w:rPr>
          <w:color w:val="000000"/>
          <w:sz w:val="24"/>
          <w:szCs w:val="24"/>
        </w:rPr>
        <w:t xml:space="preserve">Determine if staff </w:t>
      </w:r>
      <w:r w:rsidR="00D30EA9">
        <w:rPr>
          <w:color w:val="000000"/>
          <w:sz w:val="24"/>
          <w:szCs w:val="24"/>
        </w:rPr>
        <w:t>are</w:t>
      </w:r>
      <w:r>
        <w:rPr>
          <w:color w:val="000000"/>
          <w:sz w:val="24"/>
          <w:szCs w:val="24"/>
        </w:rPr>
        <w:t xml:space="preserve"> e</w:t>
      </w:r>
      <w:r w:rsidR="005A058E">
        <w:rPr>
          <w:color w:val="000000"/>
          <w:sz w:val="24"/>
          <w:szCs w:val="24"/>
        </w:rPr>
        <w:t>ligible for COVID</w:t>
      </w:r>
      <w:r w:rsidR="00000EEB">
        <w:rPr>
          <w:color w:val="000000"/>
          <w:sz w:val="24"/>
          <w:szCs w:val="24"/>
        </w:rPr>
        <w:t>-19 related paid leave, and</w:t>
      </w:r>
      <w:r w:rsidR="00D30EA9">
        <w:rPr>
          <w:color w:val="000000"/>
          <w:sz w:val="24"/>
          <w:szCs w:val="24"/>
        </w:rPr>
        <w:t xml:space="preserve"> document decisions per your agency’s Board approved policy. </w:t>
      </w:r>
      <w:r w:rsidR="00FB4345">
        <w:rPr>
          <w:color w:val="000000"/>
          <w:sz w:val="24"/>
          <w:szCs w:val="24"/>
        </w:rPr>
        <w:t xml:space="preserve"> </w:t>
      </w:r>
      <w:r>
        <w:rPr>
          <w:color w:val="000000"/>
          <w:sz w:val="24"/>
          <w:szCs w:val="24"/>
        </w:rPr>
        <w:t xml:space="preserve">OJP is not responsible for making that determination. </w:t>
      </w:r>
    </w:p>
    <w:p w14:paraId="0B74C028" w14:textId="77777777" w:rsidR="00FB4345" w:rsidRDefault="00FB4345" w:rsidP="00FB4345">
      <w:pPr>
        <w:pStyle w:val="ListParagraph"/>
        <w:ind w:left="1080"/>
        <w:rPr>
          <w:color w:val="000000"/>
          <w:sz w:val="24"/>
          <w:szCs w:val="24"/>
        </w:rPr>
      </w:pPr>
    </w:p>
    <w:p w14:paraId="72DC4560" w14:textId="1E4FDCBC" w:rsidR="00FB4345" w:rsidRDefault="00245E47" w:rsidP="00FB4345">
      <w:pPr>
        <w:pStyle w:val="ListParagraph"/>
        <w:numPr>
          <w:ilvl w:val="0"/>
          <w:numId w:val="5"/>
        </w:numPr>
        <w:rPr>
          <w:color w:val="000000"/>
          <w:sz w:val="24"/>
          <w:szCs w:val="24"/>
        </w:rPr>
      </w:pPr>
      <w:r w:rsidRPr="00FB4345">
        <w:rPr>
          <w:color w:val="000000"/>
          <w:sz w:val="24"/>
          <w:szCs w:val="24"/>
        </w:rPr>
        <w:t xml:space="preserve">Document expenses related to COVID-19 leave. </w:t>
      </w:r>
      <w:r w:rsidR="00FB4345">
        <w:rPr>
          <w:color w:val="000000"/>
          <w:sz w:val="24"/>
          <w:szCs w:val="24"/>
        </w:rPr>
        <w:t xml:space="preserve"> </w:t>
      </w:r>
      <w:r w:rsidRPr="00FB4345">
        <w:rPr>
          <w:color w:val="000000"/>
          <w:sz w:val="24"/>
          <w:szCs w:val="24"/>
        </w:rPr>
        <w:t xml:space="preserve">This means that staff must track their COVID-19 leave time similarly to sick or vacation time on their time and effort log or timesheet. </w:t>
      </w:r>
    </w:p>
    <w:p w14:paraId="075E5908" w14:textId="77777777" w:rsidR="00FB4345" w:rsidRPr="00FB4345" w:rsidRDefault="00FB4345" w:rsidP="00FB4345">
      <w:pPr>
        <w:pStyle w:val="ListParagraph"/>
        <w:rPr>
          <w:color w:val="000000"/>
          <w:sz w:val="24"/>
          <w:szCs w:val="24"/>
        </w:rPr>
      </w:pPr>
    </w:p>
    <w:p w14:paraId="3DE473E0" w14:textId="24F1BF35" w:rsidR="00FB4345" w:rsidRDefault="00245E47" w:rsidP="00FB4345">
      <w:pPr>
        <w:pStyle w:val="ListParagraph"/>
        <w:numPr>
          <w:ilvl w:val="0"/>
          <w:numId w:val="5"/>
        </w:numPr>
        <w:rPr>
          <w:color w:val="000000"/>
          <w:sz w:val="24"/>
          <w:szCs w:val="24"/>
        </w:rPr>
      </w:pPr>
      <w:r w:rsidRPr="00FB4345">
        <w:rPr>
          <w:color w:val="000000"/>
          <w:sz w:val="24"/>
          <w:szCs w:val="24"/>
        </w:rPr>
        <w:t>Provide OJP with</w:t>
      </w:r>
      <w:r w:rsidR="0055225B" w:rsidRPr="00FB4345">
        <w:rPr>
          <w:color w:val="000000"/>
          <w:sz w:val="24"/>
          <w:szCs w:val="24"/>
        </w:rPr>
        <w:t xml:space="preserve"> your board approved leave policy t</w:t>
      </w:r>
      <w:r w:rsidR="00CD1ED4" w:rsidRPr="00FB4345">
        <w:rPr>
          <w:color w:val="000000"/>
          <w:sz w:val="24"/>
          <w:szCs w:val="24"/>
        </w:rPr>
        <w:t>hat covers “unexpected or extraordinary” circumstances</w:t>
      </w:r>
      <w:r w:rsidRPr="00FB4345">
        <w:rPr>
          <w:color w:val="000000"/>
          <w:sz w:val="24"/>
          <w:szCs w:val="24"/>
        </w:rPr>
        <w:t xml:space="preserve">. </w:t>
      </w:r>
      <w:r w:rsidR="00FB4345">
        <w:rPr>
          <w:color w:val="000000"/>
          <w:sz w:val="24"/>
          <w:szCs w:val="24"/>
        </w:rPr>
        <w:t xml:space="preserve"> </w:t>
      </w:r>
      <w:r w:rsidR="0013284A">
        <w:rPr>
          <w:color w:val="000000"/>
          <w:sz w:val="24"/>
          <w:szCs w:val="24"/>
        </w:rPr>
        <w:t xml:space="preserve">This should be </w:t>
      </w:r>
      <w:r w:rsidRPr="00FB4345">
        <w:rPr>
          <w:color w:val="000000"/>
          <w:sz w:val="24"/>
          <w:szCs w:val="24"/>
        </w:rPr>
        <w:t xml:space="preserve">emailed </w:t>
      </w:r>
      <w:r w:rsidR="00CD1ED4" w:rsidRPr="00FB4345">
        <w:rPr>
          <w:color w:val="000000"/>
          <w:sz w:val="24"/>
          <w:szCs w:val="24"/>
        </w:rPr>
        <w:t>t</w:t>
      </w:r>
      <w:r w:rsidR="0013284A">
        <w:rPr>
          <w:color w:val="000000"/>
          <w:sz w:val="24"/>
          <w:szCs w:val="24"/>
        </w:rPr>
        <w:t>o your grant manager</w:t>
      </w:r>
      <w:r w:rsidR="0055225B" w:rsidRPr="00FB4345">
        <w:rPr>
          <w:color w:val="000000"/>
          <w:sz w:val="24"/>
          <w:szCs w:val="24"/>
        </w:rPr>
        <w:t xml:space="preserve">. </w:t>
      </w:r>
      <w:r w:rsidR="00000EEB" w:rsidRPr="00FB4345">
        <w:rPr>
          <w:color w:val="000000"/>
          <w:sz w:val="24"/>
          <w:szCs w:val="24"/>
        </w:rPr>
        <w:t xml:space="preserve"> </w:t>
      </w:r>
      <w:r w:rsidRPr="00FB4345">
        <w:rPr>
          <w:color w:val="000000"/>
          <w:sz w:val="24"/>
          <w:szCs w:val="24"/>
        </w:rPr>
        <w:t xml:space="preserve">FSRs that include COVID-19 leave time will not be approved until </w:t>
      </w:r>
      <w:r w:rsidR="00FB4345">
        <w:rPr>
          <w:color w:val="000000"/>
          <w:sz w:val="24"/>
          <w:szCs w:val="24"/>
        </w:rPr>
        <w:t xml:space="preserve">leave </w:t>
      </w:r>
      <w:r w:rsidRPr="00FB4345">
        <w:rPr>
          <w:color w:val="000000"/>
          <w:sz w:val="24"/>
          <w:szCs w:val="24"/>
        </w:rPr>
        <w:t xml:space="preserve">policies are received. </w:t>
      </w:r>
    </w:p>
    <w:p w14:paraId="003E3225" w14:textId="77777777" w:rsidR="00FB4345" w:rsidRPr="00FB4345" w:rsidRDefault="00FB4345" w:rsidP="00FB4345">
      <w:pPr>
        <w:pStyle w:val="ListParagraph"/>
        <w:rPr>
          <w:color w:val="000000"/>
          <w:sz w:val="24"/>
          <w:szCs w:val="24"/>
        </w:rPr>
      </w:pPr>
    </w:p>
    <w:p w14:paraId="32E7CDB5" w14:textId="77777777" w:rsidR="00FB4345" w:rsidRDefault="00245E47" w:rsidP="00FB4345">
      <w:pPr>
        <w:pStyle w:val="ListParagraph"/>
        <w:numPr>
          <w:ilvl w:val="0"/>
          <w:numId w:val="5"/>
        </w:numPr>
        <w:rPr>
          <w:color w:val="000000"/>
          <w:sz w:val="24"/>
          <w:szCs w:val="24"/>
        </w:rPr>
      </w:pPr>
      <w:r w:rsidRPr="00FB4345">
        <w:rPr>
          <w:color w:val="000000"/>
          <w:sz w:val="24"/>
          <w:szCs w:val="24"/>
        </w:rPr>
        <w:t>I</w:t>
      </w:r>
      <w:r w:rsidR="00CD1ED4" w:rsidRPr="00FB4345">
        <w:rPr>
          <w:color w:val="000000"/>
          <w:sz w:val="24"/>
          <w:szCs w:val="24"/>
        </w:rPr>
        <w:t xml:space="preserve">ndicate the </w:t>
      </w:r>
      <w:r w:rsidRPr="00FB4345">
        <w:rPr>
          <w:color w:val="000000"/>
          <w:sz w:val="24"/>
          <w:szCs w:val="24"/>
        </w:rPr>
        <w:t xml:space="preserve">amounts of personnel wages and benefit expenses </w:t>
      </w:r>
      <w:r w:rsidR="00CD1ED4" w:rsidRPr="00FB4345">
        <w:rPr>
          <w:color w:val="000000"/>
          <w:sz w:val="24"/>
          <w:szCs w:val="24"/>
        </w:rPr>
        <w:t>associated with COVID-19 leave in the FSR description detail box</w:t>
      </w:r>
      <w:r w:rsidRPr="00FB4345">
        <w:rPr>
          <w:color w:val="000000"/>
          <w:sz w:val="24"/>
          <w:szCs w:val="24"/>
        </w:rPr>
        <w:t>es</w:t>
      </w:r>
      <w:r w:rsidR="00CD1ED4" w:rsidRPr="00FB4345">
        <w:rPr>
          <w:color w:val="000000"/>
          <w:sz w:val="24"/>
          <w:szCs w:val="24"/>
        </w:rPr>
        <w:t xml:space="preserve"> for each line item </w:t>
      </w:r>
      <w:r w:rsidRPr="00FB4345">
        <w:rPr>
          <w:color w:val="000000"/>
          <w:sz w:val="24"/>
          <w:szCs w:val="24"/>
        </w:rPr>
        <w:t xml:space="preserve">associated with COVID-19 leave (individual salary lines and payroll taxes/fringe). </w:t>
      </w:r>
    </w:p>
    <w:p w14:paraId="01CB7A04" w14:textId="77777777" w:rsidR="00FB4345" w:rsidRPr="00FB4345" w:rsidRDefault="00FB4345" w:rsidP="00FB4345">
      <w:pPr>
        <w:pStyle w:val="ListParagraph"/>
        <w:rPr>
          <w:color w:val="000000"/>
          <w:sz w:val="24"/>
          <w:szCs w:val="24"/>
        </w:rPr>
      </w:pPr>
    </w:p>
    <w:p w14:paraId="391BFFA7" w14:textId="3B43CBA2" w:rsidR="00BB19D2" w:rsidRPr="00FB4345" w:rsidRDefault="00245E47" w:rsidP="00FB4345">
      <w:pPr>
        <w:pStyle w:val="ListParagraph"/>
        <w:numPr>
          <w:ilvl w:val="0"/>
          <w:numId w:val="5"/>
        </w:numPr>
        <w:rPr>
          <w:color w:val="000000"/>
          <w:sz w:val="24"/>
          <w:szCs w:val="24"/>
        </w:rPr>
      </w:pPr>
      <w:r w:rsidRPr="00FB4345">
        <w:rPr>
          <w:color w:val="000000"/>
          <w:sz w:val="24"/>
          <w:szCs w:val="24"/>
        </w:rPr>
        <w:t>Note that these costs must follow your OJP approved budget.</w:t>
      </w:r>
      <w:r w:rsidR="00000EEB" w:rsidRPr="00FB4345">
        <w:rPr>
          <w:color w:val="000000"/>
          <w:sz w:val="24"/>
          <w:szCs w:val="24"/>
        </w:rPr>
        <w:t xml:space="preserve"> </w:t>
      </w:r>
      <w:r w:rsidRPr="00FB4345">
        <w:rPr>
          <w:color w:val="000000"/>
          <w:sz w:val="24"/>
          <w:szCs w:val="24"/>
        </w:rPr>
        <w:t xml:space="preserve"> </w:t>
      </w:r>
      <w:r w:rsidR="007E7133" w:rsidRPr="00FB4345">
        <w:rPr>
          <w:sz w:val="24"/>
          <w:szCs w:val="24"/>
        </w:rPr>
        <w:t>For example, if a full-time</w:t>
      </w:r>
      <w:r w:rsidR="00A77A11" w:rsidRPr="00FB4345">
        <w:rPr>
          <w:sz w:val="24"/>
          <w:szCs w:val="24"/>
        </w:rPr>
        <w:t xml:space="preserve"> position in the approved budget is</w:t>
      </w:r>
      <w:r w:rsidR="007E7133" w:rsidRPr="00FB4345">
        <w:rPr>
          <w:sz w:val="24"/>
          <w:szCs w:val="24"/>
        </w:rPr>
        <w:t xml:space="preserve"> paid with 50% federal and 50% state funds, th</w:t>
      </w:r>
      <w:r w:rsidRPr="00FB4345">
        <w:rPr>
          <w:sz w:val="24"/>
          <w:szCs w:val="24"/>
        </w:rPr>
        <w:t>e COVID-19</w:t>
      </w:r>
      <w:r w:rsidR="007E7133" w:rsidRPr="00FB4345">
        <w:rPr>
          <w:sz w:val="24"/>
          <w:szCs w:val="24"/>
        </w:rPr>
        <w:t xml:space="preserve"> leave expense </w:t>
      </w:r>
      <w:r w:rsidRPr="00FB4345">
        <w:rPr>
          <w:sz w:val="24"/>
          <w:szCs w:val="24"/>
        </w:rPr>
        <w:t>should</w:t>
      </w:r>
      <w:r w:rsidR="00F3634C" w:rsidRPr="00FB4345">
        <w:rPr>
          <w:sz w:val="24"/>
          <w:szCs w:val="24"/>
        </w:rPr>
        <w:t xml:space="preserve"> be split in the same manner, so that federal funds are not treated differently from other funds.  This guideline </w:t>
      </w:r>
      <w:r w:rsidR="00D30EA9" w:rsidRPr="00FB4345">
        <w:rPr>
          <w:sz w:val="24"/>
          <w:szCs w:val="24"/>
        </w:rPr>
        <w:t>also applies to staff who are</w:t>
      </w:r>
      <w:r w:rsidR="00F3634C" w:rsidRPr="00FB4345">
        <w:rPr>
          <w:sz w:val="24"/>
          <w:szCs w:val="24"/>
        </w:rPr>
        <w:t xml:space="preserve"> partially</w:t>
      </w:r>
      <w:r w:rsidR="00D30EA9" w:rsidRPr="00FB4345">
        <w:rPr>
          <w:sz w:val="24"/>
          <w:szCs w:val="24"/>
        </w:rPr>
        <w:t xml:space="preserve"> funded through other sources outside of OJP. </w:t>
      </w:r>
    </w:p>
    <w:p w14:paraId="14E3BF62" w14:textId="77777777" w:rsidR="005931FF" w:rsidRDefault="005931FF" w:rsidP="005931FF">
      <w:pPr>
        <w:pStyle w:val="ListParagraph"/>
        <w:rPr>
          <w:sz w:val="24"/>
          <w:szCs w:val="24"/>
        </w:rPr>
      </w:pPr>
    </w:p>
    <w:p w14:paraId="1E05B5F3" w14:textId="1569B993" w:rsidR="00A41027" w:rsidRPr="00000EEB" w:rsidRDefault="00A41027" w:rsidP="005931FF">
      <w:pPr>
        <w:pStyle w:val="ListParagraph"/>
        <w:numPr>
          <w:ilvl w:val="0"/>
          <w:numId w:val="2"/>
        </w:numPr>
        <w:rPr>
          <w:sz w:val="24"/>
          <w:szCs w:val="24"/>
          <w:u w:val="single"/>
        </w:rPr>
      </w:pPr>
      <w:r w:rsidRPr="005931FF">
        <w:rPr>
          <w:sz w:val="24"/>
          <w:szCs w:val="24"/>
        </w:rPr>
        <w:t xml:space="preserve">We encourage </w:t>
      </w:r>
      <w:r w:rsidR="00A77A11" w:rsidRPr="005931FF">
        <w:rPr>
          <w:sz w:val="24"/>
          <w:szCs w:val="24"/>
        </w:rPr>
        <w:t xml:space="preserve">OJP </w:t>
      </w:r>
      <w:r w:rsidR="0058086F" w:rsidRPr="005931FF">
        <w:rPr>
          <w:sz w:val="24"/>
          <w:szCs w:val="24"/>
        </w:rPr>
        <w:t xml:space="preserve">funding be prioritized </w:t>
      </w:r>
      <w:r w:rsidR="00A64373" w:rsidRPr="005931FF">
        <w:rPr>
          <w:sz w:val="24"/>
          <w:szCs w:val="24"/>
        </w:rPr>
        <w:t>for</w:t>
      </w:r>
      <w:r w:rsidRPr="005931FF">
        <w:rPr>
          <w:sz w:val="24"/>
          <w:szCs w:val="24"/>
        </w:rPr>
        <w:t xml:space="preserve"> providing the most critical</w:t>
      </w:r>
      <w:r w:rsidR="0058086F" w:rsidRPr="005931FF">
        <w:rPr>
          <w:sz w:val="24"/>
          <w:szCs w:val="24"/>
        </w:rPr>
        <w:t>ly needed</w:t>
      </w:r>
      <w:r w:rsidRPr="005931FF">
        <w:rPr>
          <w:sz w:val="24"/>
          <w:szCs w:val="24"/>
        </w:rPr>
        <w:t xml:space="preserve"> services that fall within the scope of programming your agency provides, </w:t>
      </w:r>
      <w:r w:rsidR="00A64373" w:rsidRPr="005931FF">
        <w:rPr>
          <w:sz w:val="24"/>
          <w:szCs w:val="24"/>
        </w:rPr>
        <w:t xml:space="preserve">which may </w:t>
      </w:r>
      <w:r w:rsidRPr="005931FF">
        <w:rPr>
          <w:sz w:val="24"/>
          <w:szCs w:val="24"/>
        </w:rPr>
        <w:t>includ</w:t>
      </w:r>
      <w:r w:rsidR="00A64373" w:rsidRPr="005931FF">
        <w:rPr>
          <w:sz w:val="24"/>
          <w:szCs w:val="24"/>
        </w:rPr>
        <w:t>e</w:t>
      </w:r>
      <w:r w:rsidRPr="005931FF">
        <w:rPr>
          <w:sz w:val="24"/>
          <w:szCs w:val="24"/>
        </w:rPr>
        <w:t xml:space="preserve"> but</w:t>
      </w:r>
      <w:r w:rsidR="00A64373" w:rsidRPr="005931FF">
        <w:rPr>
          <w:sz w:val="24"/>
          <w:szCs w:val="24"/>
        </w:rPr>
        <w:t xml:space="preserve"> is </w:t>
      </w:r>
      <w:r w:rsidRPr="005931FF">
        <w:rPr>
          <w:sz w:val="24"/>
          <w:szCs w:val="24"/>
        </w:rPr>
        <w:t>not limited to</w:t>
      </w:r>
      <w:r w:rsidR="005931FF">
        <w:rPr>
          <w:sz w:val="24"/>
          <w:szCs w:val="24"/>
        </w:rPr>
        <w:t>: (24-</w:t>
      </w:r>
      <w:r w:rsidRPr="005931FF">
        <w:rPr>
          <w:sz w:val="24"/>
          <w:szCs w:val="24"/>
        </w:rPr>
        <w:t>hour crisis line</w:t>
      </w:r>
      <w:r w:rsidR="00A64373" w:rsidRPr="005931FF">
        <w:rPr>
          <w:sz w:val="24"/>
          <w:szCs w:val="24"/>
        </w:rPr>
        <w:t xml:space="preserve"> services</w:t>
      </w:r>
      <w:r w:rsidRPr="005931FF">
        <w:rPr>
          <w:sz w:val="24"/>
          <w:szCs w:val="24"/>
        </w:rPr>
        <w:t xml:space="preserve">, </w:t>
      </w:r>
      <w:r w:rsidR="00A64373" w:rsidRPr="005931FF">
        <w:rPr>
          <w:sz w:val="24"/>
          <w:szCs w:val="24"/>
        </w:rPr>
        <w:t xml:space="preserve">advocacy for emergency needs/actions, </w:t>
      </w:r>
      <w:r w:rsidRPr="005931FF">
        <w:rPr>
          <w:sz w:val="24"/>
          <w:szCs w:val="24"/>
        </w:rPr>
        <w:t xml:space="preserve">access to safe shelter, safety planning, </w:t>
      </w:r>
      <w:r w:rsidR="00A64373" w:rsidRPr="005931FF">
        <w:rPr>
          <w:sz w:val="24"/>
          <w:szCs w:val="24"/>
        </w:rPr>
        <w:t xml:space="preserve">and protective orders).  </w:t>
      </w:r>
      <w:r w:rsidR="0058086F" w:rsidRPr="005931FF">
        <w:rPr>
          <w:sz w:val="24"/>
          <w:szCs w:val="24"/>
        </w:rPr>
        <w:t>Please provide</w:t>
      </w:r>
      <w:r w:rsidRPr="005931FF">
        <w:rPr>
          <w:sz w:val="24"/>
          <w:szCs w:val="24"/>
        </w:rPr>
        <w:t xml:space="preserve"> services as safely as possible</w:t>
      </w:r>
      <w:r w:rsidR="00A64373" w:rsidRPr="005931FF">
        <w:rPr>
          <w:sz w:val="24"/>
          <w:szCs w:val="24"/>
        </w:rPr>
        <w:t xml:space="preserve"> through</w:t>
      </w:r>
      <w:r w:rsidRPr="005931FF">
        <w:rPr>
          <w:sz w:val="24"/>
          <w:szCs w:val="24"/>
        </w:rPr>
        <w:t xml:space="preserve"> working remotely </w:t>
      </w:r>
      <w:r w:rsidR="0058086F" w:rsidRPr="005931FF">
        <w:rPr>
          <w:sz w:val="24"/>
          <w:szCs w:val="24"/>
        </w:rPr>
        <w:t>(</w:t>
      </w:r>
      <w:r w:rsidRPr="005931FF">
        <w:rPr>
          <w:sz w:val="24"/>
          <w:szCs w:val="24"/>
        </w:rPr>
        <w:t>if possible</w:t>
      </w:r>
      <w:r w:rsidR="0058086F" w:rsidRPr="005931FF">
        <w:rPr>
          <w:sz w:val="24"/>
          <w:szCs w:val="24"/>
        </w:rPr>
        <w:t>)</w:t>
      </w:r>
      <w:r w:rsidRPr="005931FF">
        <w:rPr>
          <w:sz w:val="24"/>
          <w:szCs w:val="24"/>
        </w:rPr>
        <w:t xml:space="preserve"> and utilizing ways to connect w</w:t>
      </w:r>
      <w:r w:rsidR="00A64373" w:rsidRPr="005931FF">
        <w:rPr>
          <w:sz w:val="24"/>
          <w:szCs w:val="24"/>
        </w:rPr>
        <w:t>ith victims through technology</w:t>
      </w:r>
      <w:r w:rsidRPr="005931FF">
        <w:rPr>
          <w:sz w:val="24"/>
          <w:szCs w:val="24"/>
        </w:rPr>
        <w:t xml:space="preserve"> </w:t>
      </w:r>
      <w:r w:rsidR="00A64373" w:rsidRPr="005931FF">
        <w:rPr>
          <w:sz w:val="24"/>
          <w:szCs w:val="24"/>
        </w:rPr>
        <w:t xml:space="preserve">(i.e., </w:t>
      </w:r>
      <w:r w:rsidRPr="005931FF">
        <w:rPr>
          <w:sz w:val="24"/>
          <w:szCs w:val="24"/>
        </w:rPr>
        <w:t>phone, comput</w:t>
      </w:r>
      <w:r w:rsidR="00A64373" w:rsidRPr="005931FF">
        <w:rPr>
          <w:sz w:val="24"/>
          <w:szCs w:val="24"/>
        </w:rPr>
        <w:t>er apps such as Skype or</w:t>
      </w:r>
      <w:r w:rsidRPr="005931FF">
        <w:rPr>
          <w:sz w:val="24"/>
          <w:szCs w:val="24"/>
        </w:rPr>
        <w:t xml:space="preserve"> Zoom</w:t>
      </w:r>
      <w:r w:rsidR="00A64373" w:rsidRPr="005931FF">
        <w:rPr>
          <w:sz w:val="24"/>
          <w:szCs w:val="24"/>
        </w:rPr>
        <w:t>, etc.</w:t>
      </w:r>
      <w:r w:rsidRPr="005931FF">
        <w:rPr>
          <w:sz w:val="24"/>
          <w:szCs w:val="24"/>
        </w:rPr>
        <w:t xml:space="preserve">).  </w:t>
      </w:r>
      <w:r w:rsidR="00A64373" w:rsidRPr="005931FF">
        <w:rPr>
          <w:sz w:val="24"/>
          <w:szCs w:val="24"/>
        </w:rPr>
        <w:t>F</w:t>
      </w:r>
      <w:r w:rsidRPr="005931FF">
        <w:rPr>
          <w:sz w:val="24"/>
          <w:szCs w:val="24"/>
        </w:rPr>
        <w:t>ace-to-face interactions should follow social distancing parameters (maintaining 6 ft. of separation).  Support services (i.e., support g</w:t>
      </w:r>
      <w:r w:rsidR="00A64373" w:rsidRPr="005931FF">
        <w:rPr>
          <w:sz w:val="24"/>
          <w:szCs w:val="24"/>
        </w:rPr>
        <w:t xml:space="preserve">roups, on-going </w:t>
      </w:r>
      <w:r w:rsidR="00A64373" w:rsidRPr="00000EEB">
        <w:rPr>
          <w:sz w:val="24"/>
          <w:szCs w:val="24"/>
        </w:rPr>
        <w:t xml:space="preserve">advocacy) </w:t>
      </w:r>
      <w:r w:rsidR="0058086F" w:rsidRPr="00000EEB">
        <w:rPr>
          <w:sz w:val="24"/>
          <w:szCs w:val="24"/>
        </w:rPr>
        <w:t>sh</w:t>
      </w:r>
      <w:r w:rsidR="00A64373" w:rsidRPr="00000EEB">
        <w:rPr>
          <w:sz w:val="24"/>
          <w:szCs w:val="24"/>
        </w:rPr>
        <w:t>ould</w:t>
      </w:r>
      <w:r w:rsidRPr="00000EEB">
        <w:rPr>
          <w:sz w:val="24"/>
          <w:szCs w:val="24"/>
        </w:rPr>
        <w:t xml:space="preserve"> continue as much as possible through the use of technology.</w:t>
      </w:r>
      <w:r w:rsidR="005931FF" w:rsidRPr="00000EEB">
        <w:rPr>
          <w:sz w:val="24"/>
          <w:szCs w:val="24"/>
        </w:rPr>
        <w:t xml:space="preserve">  OJP asks that agencies make every attempt to serve those crime victims seeking assistance, no matter where they are from.  </w:t>
      </w:r>
    </w:p>
    <w:p w14:paraId="6AD7AFC4" w14:textId="77777777" w:rsidR="00A64373" w:rsidRPr="00A41027" w:rsidRDefault="00A64373" w:rsidP="00A64373">
      <w:pPr>
        <w:pStyle w:val="ListParagraph"/>
        <w:rPr>
          <w:sz w:val="24"/>
          <w:szCs w:val="24"/>
        </w:rPr>
      </w:pPr>
    </w:p>
    <w:p w14:paraId="45F9B3D9" w14:textId="227455D7" w:rsidR="00A64373" w:rsidRPr="009D7675" w:rsidRDefault="00A64373" w:rsidP="009D7675">
      <w:pPr>
        <w:pStyle w:val="ListParagraph"/>
        <w:numPr>
          <w:ilvl w:val="0"/>
          <w:numId w:val="2"/>
        </w:numPr>
        <w:rPr>
          <w:sz w:val="24"/>
          <w:szCs w:val="24"/>
        </w:rPr>
      </w:pPr>
      <w:r>
        <w:rPr>
          <w:sz w:val="24"/>
          <w:szCs w:val="24"/>
        </w:rPr>
        <w:t>Please be aware t</w:t>
      </w:r>
      <w:r w:rsidRPr="00A64373">
        <w:rPr>
          <w:sz w:val="24"/>
          <w:szCs w:val="24"/>
        </w:rPr>
        <w:t>he confidentiality guidelines in providing crime victim services are still fully in place and need to be upheld.</w:t>
      </w:r>
    </w:p>
    <w:p w14:paraId="17755364" w14:textId="77777777" w:rsidR="00A64373" w:rsidRPr="00A64373" w:rsidRDefault="00A64373" w:rsidP="00A64373">
      <w:pPr>
        <w:pStyle w:val="ListParagraph"/>
        <w:rPr>
          <w:color w:val="000000"/>
          <w:sz w:val="24"/>
          <w:szCs w:val="24"/>
        </w:rPr>
      </w:pPr>
    </w:p>
    <w:p w14:paraId="4AA7BE27" w14:textId="11651DFF" w:rsidR="00CC2B99" w:rsidRPr="008D59BB" w:rsidRDefault="00A64373" w:rsidP="00FF2B55">
      <w:pPr>
        <w:pStyle w:val="ListParagraph"/>
        <w:numPr>
          <w:ilvl w:val="0"/>
          <w:numId w:val="2"/>
        </w:numPr>
        <w:rPr>
          <w:color w:val="000000"/>
          <w:sz w:val="24"/>
          <w:szCs w:val="24"/>
        </w:rPr>
      </w:pPr>
      <w:r w:rsidRPr="00A64373">
        <w:rPr>
          <w:color w:val="000000"/>
          <w:sz w:val="24"/>
          <w:szCs w:val="24"/>
        </w:rPr>
        <w:t>OJP understands that programs may be shifting staff and struggling to meet match. </w:t>
      </w:r>
      <w:r w:rsidR="00FF2B55">
        <w:rPr>
          <w:color w:val="000000"/>
          <w:sz w:val="24"/>
          <w:szCs w:val="24"/>
        </w:rPr>
        <w:t xml:space="preserve"> (Please know match can be figured out down the road and </w:t>
      </w:r>
      <w:r w:rsidR="00000EEB">
        <w:rPr>
          <w:color w:val="000000"/>
          <w:sz w:val="24"/>
          <w:szCs w:val="24"/>
        </w:rPr>
        <w:t xml:space="preserve">generally </w:t>
      </w:r>
      <w:r w:rsidR="00FF2B55">
        <w:rPr>
          <w:color w:val="000000"/>
          <w:sz w:val="24"/>
          <w:szCs w:val="24"/>
        </w:rPr>
        <w:t>this is not urgent.)</w:t>
      </w:r>
      <w:r w:rsidRPr="00A64373">
        <w:rPr>
          <w:color w:val="000000"/>
          <w:sz w:val="24"/>
          <w:szCs w:val="24"/>
        </w:rPr>
        <w:t xml:space="preserve"> </w:t>
      </w:r>
      <w:r w:rsidR="00FF2B55">
        <w:rPr>
          <w:color w:val="000000"/>
          <w:sz w:val="24"/>
          <w:szCs w:val="24"/>
        </w:rPr>
        <w:t>C</w:t>
      </w:r>
      <w:r w:rsidRPr="00A64373">
        <w:rPr>
          <w:color w:val="000000"/>
          <w:sz w:val="24"/>
          <w:szCs w:val="24"/>
        </w:rPr>
        <w:t xml:space="preserve">ontact your OJP grant manager to discuss </w:t>
      </w:r>
      <w:r>
        <w:rPr>
          <w:color w:val="000000"/>
          <w:sz w:val="24"/>
          <w:szCs w:val="24"/>
        </w:rPr>
        <w:t xml:space="preserve">any needed changes to your budget </w:t>
      </w:r>
      <w:r w:rsidRPr="00A64373">
        <w:rPr>
          <w:color w:val="000000"/>
          <w:sz w:val="24"/>
          <w:szCs w:val="24"/>
        </w:rPr>
        <w:t>and questions you may have in meeting the current challenge</w:t>
      </w:r>
      <w:r>
        <w:rPr>
          <w:color w:val="000000"/>
          <w:sz w:val="24"/>
          <w:szCs w:val="24"/>
        </w:rPr>
        <w:t>s. </w:t>
      </w:r>
      <w:r w:rsidR="00FF2B55">
        <w:rPr>
          <w:color w:val="000000"/>
          <w:sz w:val="24"/>
          <w:szCs w:val="24"/>
        </w:rPr>
        <w:t xml:space="preserve"> Grant managers are available to</w:t>
      </w:r>
      <w:r>
        <w:rPr>
          <w:color w:val="000000"/>
          <w:sz w:val="24"/>
          <w:szCs w:val="24"/>
        </w:rPr>
        <w:t xml:space="preserve"> problem-</w:t>
      </w:r>
      <w:r w:rsidRPr="00A64373">
        <w:rPr>
          <w:color w:val="000000"/>
          <w:sz w:val="24"/>
          <w:szCs w:val="24"/>
        </w:rPr>
        <w:t>solve with grantees and provide assistance with grant related questions.</w:t>
      </w:r>
    </w:p>
    <w:sectPr w:rsidR="00CC2B99" w:rsidRPr="008D59BB" w:rsidSect="0017733A">
      <w:head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ECDB" w14:textId="77777777" w:rsidR="006F4126" w:rsidRDefault="006F4126" w:rsidP="005931FF">
      <w:pPr>
        <w:spacing w:after="0" w:line="240" w:lineRule="auto"/>
      </w:pPr>
      <w:r>
        <w:separator/>
      </w:r>
    </w:p>
  </w:endnote>
  <w:endnote w:type="continuationSeparator" w:id="0">
    <w:p w14:paraId="16BC456A" w14:textId="77777777" w:rsidR="006F4126" w:rsidRDefault="006F4126" w:rsidP="0059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8A25" w14:textId="77777777" w:rsidR="006F4126" w:rsidRDefault="006F4126" w:rsidP="005931FF">
      <w:pPr>
        <w:spacing w:after="0" w:line="240" w:lineRule="auto"/>
      </w:pPr>
      <w:r>
        <w:separator/>
      </w:r>
    </w:p>
  </w:footnote>
  <w:footnote w:type="continuationSeparator" w:id="0">
    <w:p w14:paraId="1CC50612" w14:textId="77777777" w:rsidR="006F4126" w:rsidRDefault="006F4126" w:rsidP="00593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79EA" w14:textId="0E0CD339" w:rsidR="005931FF" w:rsidRPr="005931FF" w:rsidRDefault="000A5082">
    <w:pPr>
      <w:pStyle w:val="Header"/>
      <w:tabs>
        <w:tab w:val="clear" w:pos="4680"/>
        <w:tab w:val="clear" w:pos="9360"/>
      </w:tabs>
      <w:jc w:val="right"/>
      <w:rPr>
        <w:color w:val="8496B0" w:themeColor="text2" w:themeTint="99"/>
        <w:sz w:val="20"/>
        <w:szCs w:val="24"/>
      </w:rPr>
    </w:pPr>
    <w:r>
      <w:rPr>
        <w:color w:val="8496B0" w:themeColor="text2" w:themeTint="99"/>
        <w:sz w:val="20"/>
        <w:szCs w:val="24"/>
      </w:rPr>
      <w:t>I</w:t>
    </w:r>
    <w:r w:rsidR="00C41EDB">
      <w:rPr>
        <w:color w:val="8496B0" w:themeColor="text2" w:themeTint="99"/>
        <w:sz w:val="20"/>
        <w:szCs w:val="24"/>
      </w:rPr>
      <w:t xml:space="preserve"> </w:t>
    </w:r>
  </w:p>
  <w:p w14:paraId="0DE8525C" w14:textId="77777777" w:rsidR="005931FF" w:rsidRDefault="00593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30F"/>
    <w:multiLevelType w:val="hybridMultilevel"/>
    <w:tmpl w:val="EED02710"/>
    <w:lvl w:ilvl="0" w:tplc="12547D0C">
      <w:start w:val="1"/>
      <w:numFmt w:val="decimal"/>
      <w:lvlText w:val="%1."/>
      <w:lvlJc w:val="left"/>
      <w:pPr>
        <w:ind w:left="720" w:hanging="360"/>
      </w:pPr>
    </w:lvl>
    <w:lvl w:ilvl="1" w:tplc="A25ACCA0">
      <w:start w:val="1"/>
      <w:numFmt w:val="lowerLetter"/>
      <w:lvlText w:val="%2."/>
      <w:lvlJc w:val="left"/>
      <w:pPr>
        <w:ind w:left="1440" w:hanging="360"/>
      </w:pPr>
    </w:lvl>
    <w:lvl w:ilvl="2" w:tplc="9F609468">
      <w:start w:val="1"/>
      <w:numFmt w:val="lowerRoman"/>
      <w:lvlText w:val="%3."/>
      <w:lvlJc w:val="right"/>
      <w:pPr>
        <w:ind w:left="2160" w:hanging="180"/>
      </w:pPr>
    </w:lvl>
    <w:lvl w:ilvl="3" w:tplc="E25EB45A">
      <w:start w:val="1"/>
      <w:numFmt w:val="decimal"/>
      <w:lvlText w:val="%4."/>
      <w:lvlJc w:val="left"/>
      <w:pPr>
        <w:ind w:left="2880" w:hanging="360"/>
      </w:pPr>
    </w:lvl>
    <w:lvl w:ilvl="4" w:tplc="67244BA0">
      <w:start w:val="1"/>
      <w:numFmt w:val="lowerLetter"/>
      <w:lvlText w:val="%5."/>
      <w:lvlJc w:val="left"/>
      <w:pPr>
        <w:ind w:left="3600" w:hanging="360"/>
      </w:pPr>
    </w:lvl>
    <w:lvl w:ilvl="5" w:tplc="B566A2E0">
      <w:start w:val="1"/>
      <w:numFmt w:val="lowerRoman"/>
      <w:lvlText w:val="%6."/>
      <w:lvlJc w:val="right"/>
      <w:pPr>
        <w:ind w:left="4320" w:hanging="180"/>
      </w:pPr>
    </w:lvl>
    <w:lvl w:ilvl="6" w:tplc="018A4CBE">
      <w:start w:val="1"/>
      <w:numFmt w:val="decimal"/>
      <w:lvlText w:val="%7."/>
      <w:lvlJc w:val="left"/>
      <w:pPr>
        <w:ind w:left="5040" w:hanging="360"/>
      </w:pPr>
    </w:lvl>
    <w:lvl w:ilvl="7" w:tplc="99062B98">
      <w:start w:val="1"/>
      <w:numFmt w:val="lowerLetter"/>
      <w:lvlText w:val="%8."/>
      <w:lvlJc w:val="left"/>
      <w:pPr>
        <w:ind w:left="5760" w:hanging="360"/>
      </w:pPr>
    </w:lvl>
    <w:lvl w:ilvl="8" w:tplc="B008B312">
      <w:start w:val="1"/>
      <w:numFmt w:val="lowerRoman"/>
      <w:lvlText w:val="%9."/>
      <w:lvlJc w:val="right"/>
      <w:pPr>
        <w:ind w:left="6480" w:hanging="180"/>
      </w:pPr>
    </w:lvl>
  </w:abstractNum>
  <w:abstractNum w:abstractNumId="1" w15:restartNumberingAfterBreak="0">
    <w:nsid w:val="23733CFE"/>
    <w:multiLevelType w:val="hybridMultilevel"/>
    <w:tmpl w:val="14D2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839DE"/>
    <w:multiLevelType w:val="hybridMultilevel"/>
    <w:tmpl w:val="83BAE312"/>
    <w:lvl w:ilvl="0" w:tplc="880A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F200C"/>
    <w:multiLevelType w:val="hybridMultilevel"/>
    <w:tmpl w:val="384A0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080B23"/>
    <w:multiLevelType w:val="hybridMultilevel"/>
    <w:tmpl w:val="DABAD3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75B06"/>
    <w:multiLevelType w:val="hybridMultilevel"/>
    <w:tmpl w:val="C7F2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A0605A"/>
    <w:rsid w:val="00000EEB"/>
    <w:rsid w:val="00092C4E"/>
    <w:rsid w:val="000A5082"/>
    <w:rsid w:val="000B3F0D"/>
    <w:rsid w:val="000E0FCB"/>
    <w:rsid w:val="0010567A"/>
    <w:rsid w:val="0013284A"/>
    <w:rsid w:val="0017733A"/>
    <w:rsid w:val="00245E47"/>
    <w:rsid w:val="00257405"/>
    <w:rsid w:val="002D4911"/>
    <w:rsid w:val="002F6D13"/>
    <w:rsid w:val="00334FFB"/>
    <w:rsid w:val="0035078F"/>
    <w:rsid w:val="00393C30"/>
    <w:rsid w:val="003B681F"/>
    <w:rsid w:val="003D305B"/>
    <w:rsid w:val="004013AA"/>
    <w:rsid w:val="004B35C2"/>
    <w:rsid w:val="00537661"/>
    <w:rsid w:val="0055225B"/>
    <w:rsid w:val="005736E1"/>
    <w:rsid w:val="00576025"/>
    <w:rsid w:val="0058086F"/>
    <w:rsid w:val="00592A7F"/>
    <w:rsid w:val="005931FF"/>
    <w:rsid w:val="005A058E"/>
    <w:rsid w:val="005B17DF"/>
    <w:rsid w:val="005C0441"/>
    <w:rsid w:val="005C7E2C"/>
    <w:rsid w:val="00607980"/>
    <w:rsid w:val="00663270"/>
    <w:rsid w:val="00673058"/>
    <w:rsid w:val="006C3A1F"/>
    <w:rsid w:val="006F4126"/>
    <w:rsid w:val="00722E0F"/>
    <w:rsid w:val="007B6B10"/>
    <w:rsid w:val="007D6321"/>
    <w:rsid w:val="007E7133"/>
    <w:rsid w:val="008D59BB"/>
    <w:rsid w:val="009134D0"/>
    <w:rsid w:val="009321CF"/>
    <w:rsid w:val="009D7675"/>
    <w:rsid w:val="00A41027"/>
    <w:rsid w:val="00A64373"/>
    <w:rsid w:val="00A77A11"/>
    <w:rsid w:val="00AD5F37"/>
    <w:rsid w:val="00B826E7"/>
    <w:rsid w:val="00B926DC"/>
    <w:rsid w:val="00BB19D2"/>
    <w:rsid w:val="00BB26D7"/>
    <w:rsid w:val="00BD6C7F"/>
    <w:rsid w:val="00C41EDB"/>
    <w:rsid w:val="00CA6D62"/>
    <w:rsid w:val="00CC2B99"/>
    <w:rsid w:val="00CD1ED4"/>
    <w:rsid w:val="00D30EA9"/>
    <w:rsid w:val="00DA7AC3"/>
    <w:rsid w:val="00F04323"/>
    <w:rsid w:val="00F170B5"/>
    <w:rsid w:val="00F3634C"/>
    <w:rsid w:val="00F44083"/>
    <w:rsid w:val="00F85125"/>
    <w:rsid w:val="00FB4345"/>
    <w:rsid w:val="00FF2B55"/>
    <w:rsid w:val="67A0605A"/>
    <w:rsid w:val="7ACF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05A"/>
  <w15:chartTrackingRefBased/>
  <w15:docId w15:val="{AADC2886-CFAC-4CD7-93B5-168AE64E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9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FF"/>
  </w:style>
  <w:style w:type="paragraph" w:styleId="Footer">
    <w:name w:val="footer"/>
    <w:basedOn w:val="Normal"/>
    <w:link w:val="FooterChar"/>
    <w:uiPriority w:val="99"/>
    <w:unhideWhenUsed/>
    <w:rsid w:val="0059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FF"/>
  </w:style>
  <w:style w:type="character" w:styleId="Hyperlink">
    <w:name w:val="Hyperlink"/>
    <w:basedOn w:val="DefaultParagraphFont"/>
    <w:uiPriority w:val="99"/>
    <w:unhideWhenUsed/>
    <w:rsid w:val="00245E47"/>
    <w:rPr>
      <w:color w:val="0563C1" w:themeColor="hyperlink"/>
      <w:u w:val="single"/>
    </w:rPr>
  </w:style>
  <w:style w:type="character" w:styleId="FollowedHyperlink">
    <w:name w:val="FollowedHyperlink"/>
    <w:basedOn w:val="DefaultParagraphFont"/>
    <w:uiPriority w:val="99"/>
    <w:semiHidden/>
    <w:unhideWhenUsed/>
    <w:rsid w:val="00B926DC"/>
    <w:rPr>
      <w:color w:val="954F72" w:themeColor="followedHyperlink"/>
      <w:u w:val="single"/>
    </w:rPr>
  </w:style>
  <w:style w:type="paragraph" w:customStyle="1" w:styleId="Default">
    <w:name w:val="Default"/>
    <w:rsid w:val="005376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0050">
      <w:bodyDiv w:val="1"/>
      <w:marLeft w:val="0"/>
      <w:marRight w:val="0"/>
      <w:marTop w:val="0"/>
      <w:marBottom w:val="0"/>
      <w:divBdr>
        <w:top w:val="none" w:sz="0" w:space="0" w:color="auto"/>
        <w:left w:val="none" w:sz="0" w:space="0" w:color="auto"/>
        <w:bottom w:val="none" w:sz="0" w:space="0" w:color="auto"/>
        <w:right w:val="none" w:sz="0" w:space="0" w:color="auto"/>
      </w:divBdr>
    </w:div>
    <w:div w:id="358242676">
      <w:bodyDiv w:val="1"/>
      <w:marLeft w:val="0"/>
      <w:marRight w:val="0"/>
      <w:marTop w:val="0"/>
      <w:marBottom w:val="0"/>
      <w:divBdr>
        <w:top w:val="none" w:sz="0" w:space="0" w:color="auto"/>
        <w:left w:val="none" w:sz="0" w:space="0" w:color="auto"/>
        <w:bottom w:val="none" w:sz="0" w:space="0" w:color="auto"/>
        <w:right w:val="none" w:sz="0" w:space="0" w:color="auto"/>
      </w:divBdr>
    </w:div>
    <w:div w:id="1043285708">
      <w:bodyDiv w:val="1"/>
      <w:marLeft w:val="0"/>
      <w:marRight w:val="0"/>
      <w:marTop w:val="0"/>
      <w:marBottom w:val="0"/>
      <w:divBdr>
        <w:top w:val="none" w:sz="0" w:space="0" w:color="auto"/>
        <w:left w:val="none" w:sz="0" w:space="0" w:color="auto"/>
        <w:bottom w:val="none" w:sz="0" w:space="0" w:color="auto"/>
        <w:right w:val="none" w:sz="0" w:space="0" w:color="auto"/>
      </w:divBdr>
    </w:div>
    <w:div w:id="1882748573">
      <w:bodyDiv w:val="1"/>
      <w:marLeft w:val="0"/>
      <w:marRight w:val="0"/>
      <w:marTop w:val="0"/>
      <w:marBottom w:val="0"/>
      <w:divBdr>
        <w:top w:val="none" w:sz="0" w:space="0" w:color="auto"/>
        <w:left w:val="none" w:sz="0" w:space="0" w:color="auto"/>
        <w:bottom w:val="none" w:sz="0" w:space="0" w:color="auto"/>
        <w:right w:val="none" w:sz="0" w:space="0" w:color="auto"/>
      </w:divBdr>
    </w:div>
    <w:div w:id="19199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mn.gov/divisions/ojp/forms-documents/Documents/CVS/BudgetAllocationGuideVOCA2020.pdf" TargetMode="External"/><Relationship Id="rId13" Type="http://schemas.openxmlformats.org/officeDocument/2006/relationships/hyperlink" Target="https://www.sba.gov/funding-programs/loans/coronavirus-relief-options/paycheck-protection-program-ppp"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s.mn.gov/divisions/ojp/forms-documents/Documents/CVS/BudgetAllocationGuideFVPSA2020.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ps.mn.gov/divisions/ojp/forms-documents/Documents/CVS/BudgetAllocationGuideVAWA202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7A6D42CD6DB4A839AC82A9E72B002" ma:contentTypeVersion="23" ma:contentTypeDescription="Create a new document." ma:contentTypeScope="" ma:versionID="0ec7318fc293fb28523aa93700ded378">
  <xsd:schema xmlns:xsd="http://www.w3.org/2001/XMLSchema" xmlns:xs="http://www.w3.org/2001/XMLSchema" xmlns:p="http://schemas.microsoft.com/office/2006/metadata/properties" xmlns:ns1="http://schemas.microsoft.com/sharepoint/v3" xmlns:ns2="4ff9c110-5eea-4074-92f4-0ad1bd6619bc" xmlns:ns3="19bb92e2-91d7-4e5a-85f0-0dee424490df" xmlns:ns4="9e0ca9ef-5b58-4866-a5c5-fd5077bf51e9" targetNamespace="http://schemas.microsoft.com/office/2006/metadata/properties" ma:root="true" ma:fieldsID="136951bcca220bde57f49cbff17019b6" ns1:_="" ns2:_="" ns3:_="" ns4:_="">
    <xsd:import namespace="http://schemas.microsoft.com/sharepoint/v3"/>
    <xsd:import namespace="4ff9c110-5eea-4074-92f4-0ad1bd6619bc"/>
    <xsd:import namespace="19bb92e2-91d7-4e5a-85f0-0dee424490df"/>
    <xsd:import namespace="9e0ca9ef-5b58-4866-a5c5-fd5077bf51e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bb92e2-91d7-4e5a-85f0-0dee424490df"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ca9ef-5b58-4866-a5c5-fd5077bf51e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tributeHTField0 xmlns="19bb92e2-91d7-4e5a-85f0-0dee424490df">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CityHTField0 xmlns="19bb92e2-91d7-4e5a-85f0-0dee424490df">
      <Terms xmlns="http://schemas.microsoft.com/office/infopath/2007/PartnerControls"/>
    </CityHTField0>
    <BoardandCommitteeHTField0 xmlns="19bb92e2-91d7-4e5a-85f0-0dee424490df">
      <Terms xmlns="http://schemas.microsoft.com/office/infopath/2007/PartnerControls"/>
    </BoardandCommitteeHTField0>
    <CountyHTField0 xmlns="19bb92e2-91d7-4e5a-85f0-0dee424490df">
      <Terms xmlns="http://schemas.microsoft.com/office/infopath/2007/PartnerControls"/>
    </CountyHTField0>
    <ProgramHTField0 xmlns="19bb92e2-91d7-4e5a-85f0-0dee424490df">
      <Terms xmlns="http://schemas.microsoft.com/office/infopath/2007/PartnerControls"/>
    </ProgramHTField0>
    <PersonaHTField0 xmlns="19bb92e2-91d7-4e5a-85f0-0dee424490df">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DPSLanguageHTField0 xmlns="19bb92e2-91d7-4e5a-85f0-0dee424490df">
      <Terms xmlns="http://schemas.microsoft.com/office/infopath/2007/PartnerControls"/>
    </DPSLanguageHTField0>
    <PublishingExpirationDate xmlns="http://schemas.microsoft.com/sharepoint/v3" xsi:nil="true"/>
    <PublishingStartDate xmlns="http://schemas.microsoft.com/sharepoint/v3" xsi:nil="true"/>
    <TaxCatchAll xmlns="4ff9c110-5eea-4074-92f4-0ad1bd6619bc">
      <Value>45</Value>
      <Value>2</Value>
      <Value>1</Value>
    </TaxCatchAll>
    <ResourceTypeHTField0 xmlns="19bb92e2-91d7-4e5a-85f0-0dee424490df">
      <Terms xmlns="http://schemas.microsoft.com/office/infopath/2007/PartnerControls"/>
    </ResourceTypeHTField0>
    <TaxKeywordTaxHTField xmlns="4ff9c110-5eea-4074-92f4-0ad1bd6619bc">
      <Terms xmlns="http://schemas.microsoft.com/office/infopath/2007/PartnerControls"/>
    </TaxKeywordTaxHTField>
    <DivisionHTField0 xmlns="19bb92e2-91d7-4e5a-85f0-0dee424490df">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documentManagement>
</p:properties>
</file>

<file path=customXml/itemProps1.xml><?xml version="1.0" encoding="utf-8"?>
<ds:datastoreItem xmlns:ds="http://schemas.openxmlformats.org/officeDocument/2006/customXml" ds:itemID="{8AE677F7-0966-43C7-8D89-50FCD3D1BEAB}"/>
</file>

<file path=customXml/itemProps2.xml><?xml version="1.0" encoding="utf-8"?>
<ds:datastoreItem xmlns:ds="http://schemas.openxmlformats.org/officeDocument/2006/customXml" ds:itemID="{98D8300F-F78F-4164-AE7B-C3210E757DAA}"/>
</file>

<file path=customXml/itemProps3.xml><?xml version="1.0" encoding="utf-8"?>
<ds:datastoreItem xmlns:ds="http://schemas.openxmlformats.org/officeDocument/2006/customXml" ds:itemID="{C0FA46BB-982C-4274-BAAA-2C2CA7C21F78}"/>
</file>

<file path=customXml/itemProps4.xml><?xml version="1.0" encoding="utf-8"?>
<ds:datastoreItem xmlns:ds="http://schemas.openxmlformats.org/officeDocument/2006/customXml" ds:itemID="{93DBF848-365D-4116-A9F4-5D4351D721F8}"/>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Hummel</dc:creator>
  <cp:keywords/>
  <dc:description/>
  <cp:lastModifiedBy>Anderson, Chris (DPS)</cp:lastModifiedBy>
  <cp:revision>2</cp:revision>
  <dcterms:created xsi:type="dcterms:W3CDTF">2020-06-23T12:47:00Z</dcterms:created>
  <dcterms:modified xsi:type="dcterms:W3CDTF">2020-06-23T12:47:00Z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 and Committee">
    <vt:lpwstr/>
  </property>
  <property fmtid="{D5CDD505-2E9C-101B-9397-08002B2CF9AE}" pid="3" name="TaxKeyword">
    <vt:lpwstr/>
  </property>
  <property fmtid="{D5CDD505-2E9C-101B-9397-08002B2CF9AE}" pid="4" name="Persona">
    <vt:lpwstr>45;#Partner|3e30f7d2-da76-47aa-a77a-6f2d281d3342</vt:lpwstr>
  </property>
  <property fmtid="{D5CDD505-2E9C-101B-9397-08002B2CF9AE}" pid="5" name="Division">
    <vt:lpwstr>2;#Office of Justice Programs|364dd945-3c0d-4499-8215-9b045fa773bf</vt:lpwstr>
  </property>
  <property fmtid="{D5CDD505-2E9C-101B-9397-08002B2CF9AE}" pid="6" name="Program">
    <vt:lpwstr/>
  </property>
  <property fmtid="{D5CDD505-2E9C-101B-9397-08002B2CF9AE}" pid="7" name="ContentTypeId">
    <vt:lpwstr>0x0101002BD7A6D42CD6DB4A839AC82A9E72B002</vt:lpwstr>
  </property>
  <property fmtid="{D5CDD505-2E9C-101B-9397-08002B2CF9AE}" pid="8" name="Attribute">
    <vt:lpwstr>1;#Education|853407b7-e2d0-474c-b533-89174228734e</vt:lpwstr>
  </property>
</Properties>
</file>