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B2421B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8153400</wp:posOffset>
            </wp:positionV>
            <wp:extent cx="962025" cy="962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207.75pt;margin-top:359.25pt;width:357pt;height:63pt;z-index:251662336;visibility:visible;mso-position-horizontal-relative:text;mso-position-vertical-relative:text;mso-width-relative:margin;mso-height-relative:margin" filled="f" stroked="f" strokeweight=".5pt">
            <v:textbox>
              <w:txbxContent>
                <w:p w:rsidR="00794654" w:rsidRPr="005F70BA" w:rsidRDefault="002B3DB2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8"/>
                      <w:szCs w:val="48"/>
                    </w:rPr>
                  </w:pPr>
                  <w:r w:rsidRPr="005F70BA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</w:rPr>
                    <w:t>PREVENCIÓN DE DELITOS DE INCENDIOS</w:t>
                  </w:r>
                </w:p>
              </w:txbxContent>
            </v:textbox>
          </v:shape>
        </w:pict>
      </w:r>
      <w:r w:rsidR="002B3DB2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104775</wp:posOffset>
            </wp:positionV>
            <wp:extent cx="7210425" cy="43332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474"/>
                    <a:stretch/>
                  </pic:blipFill>
                  <pic:spPr bwMode="auto">
                    <a:xfrm>
                      <a:off x="0" y="0"/>
                      <a:ext cx="7210425" cy="4333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shape id="Text Box 13" o:spid="_x0000_s1033" type="#_x0000_t202" style="position:absolute;margin-left:174.75pt;margin-top:391.5pt;width:389.8pt;height:282.75pt;z-index:-251650048;visibility:visible;mso-position-horizontal-relative:text;mso-position-vertical-relative:text;mso-width-relative:margin;mso-height-relative:margin" stroked="f" strokeweight=".5pt">
            <v:textbox>
              <w:txbxContent>
                <w:p w:rsidR="005F70BA" w:rsidRDefault="005F70BA" w:rsidP="0086688D">
                  <w:pPr>
                    <w:widowControl w:val="0"/>
                    <w:spacing w:before="160" w:after="160" w:line="320" w:lineRule="exact"/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F83DAC" w:rsidRPr="005F70BA" w:rsidRDefault="002B3DB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Elimine vegetación demasiado ramificada, malezas y basura de su propiedad.</w:t>
                  </w:r>
                </w:p>
                <w:p w:rsidR="00F83DAC" w:rsidRPr="005F70BA" w:rsidRDefault="00B2421B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F83DAC" w:rsidRPr="005F70BA" w:rsidRDefault="002B3DB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 xml:space="preserve">Esté atento a los vehículos en mal estado en su </w:t>
                  </w:r>
                  <w:r w:rsidR="005F70BA"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propiedad. Los</w:t>
                  </w:r>
                  <w:r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 xml:space="preserve"> incendios de automóviles pueden propagarse con velocidad.</w:t>
                  </w:r>
                </w:p>
                <w:p w:rsidR="00F83DAC" w:rsidRPr="005F70BA" w:rsidRDefault="00B2421B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86688D" w:rsidRPr="005F70BA" w:rsidRDefault="002B3DB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Controle los espacios alrededor de su vivienda y quite elementos que puedan arder.</w:t>
                  </w:r>
                </w:p>
                <w:p w:rsidR="00F83DAC" w:rsidRPr="005F70BA" w:rsidRDefault="00B2421B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86688D" w:rsidRPr="005F70BA" w:rsidRDefault="002B3DB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Mantenga contacto con sus vecinos y ayúdense entre sí para vigilar el vecindario.</w:t>
                  </w:r>
                </w:p>
                <w:p w:rsidR="0086688D" w:rsidRPr="005F70BA" w:rsidRDefault="00B2421B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DB61ED" w:rsidRPr="005F70BA" w:rsidRDefault="002B3DB2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4"/>
                      <w:szCs w:val="24"/>
                      <w:lang w:val="es-AR"/>
                    </w:rPr>
                  </w:pPr>
                  <w:r w:rsidRPr="005F70B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Llame a la línea directa de delitos de incendio al 1-800-723-2020 e informe sobre cualquier sospecha de incendio.</w:t>
                  </w:r>
                </w:p>
              </w:txbxContent>
            </v:textbox>
          </v:shape>
        </w:pict>
      </w:r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position-horizontal-relative:text;mso-position-vertical-relative:text;mso-height-relative:margin" from="189.75pt,369.75pt" to="189.75pt,681pt" strokecolor="#ffc000" strokeweight="2pt">
            <v:shadow on="t" color="black" opacity="24903f" origin=",.5" offset="0,1.57pt"/>
          </v:line>
        </w:pict>
      </w:r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shape id="Text Box 6" o:spid="_x0000_s1027" type="#_x0000_t202" alt="Title: Blue box - Description: Blue box with text" style="position:absolute;margin-left:30.75pt;margin-top:381.75pt;width:2in;height:324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5F70BA" w:rsidRDefault="002B3DB2" w:rsidP="0072517E">
                  <w:pPr>
                    <w:jc w:val="center"/>
                    <w:rPr>
                      <w:rFonts w:ascii="Adobe Garamond Pro Bold" w:hAnsi="Adobe Garamond Pro Bold"/>
                      <w:color w:val="FFC000"/>
                      <w:sz w:val="44"/>
                      <w:szCs w:val="44"/>
                      <w:lang w:val="es-ES"/>
                    </w:rPr>
                  </w:pPr>
                  <w:r w:rsidRPr="005F70BA">
                    <w:rPr>
                      <w:rFonts w:ascii="Adobe Garamond Pro Bold" w:eastAsia="Adobe Garamond Pro Bold" w:hAnsi="Adobe Garamond Pro Bold" w:cs="Adobe Garamond Pro Bold"/>
                      <w:color w:val="FFC000"/>
                      <w:sz w:val="44"/>
                      <w:szCs w:val="44"/>
                      <w:lang w:val="es-ES"/>
                    </w:rPr>
                    <w:t>¿Lo sabía?</w:t>
                  </w:r>
                </w:p>
                <w:p w:rsidR="003E4E2C" w:rsidRPr="005F70BA" w:rsidRDefault="002B3DB2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ES"/>
                    </w:rPr>
                  </w:pPr>
                  <w:r w:rsidRPr="005F70BA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ES"/>
                    </w:rPr>
                    <w:br/>
                  </w:r>
                  <w:r w:rsidRPr="005F70BA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ES"/>
                    </w:rPr>
                    <w:t xml:space="preserve">Incendiario hace referencia al fuego que se origina intencionalmente para causar un </w:t>
                  </w:r>
                  <w:r w:rsidR="005F70BA" w:rsidRPr="005F70BA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ES"/>
                    </w:rPr>
                    <w:t>incendio. Un</w:t>
                  </w:r>
                  <w:r w:rsidRPr="005F70BA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ES"/>
                    </w:rPr>
                    <w:t xml:space="preserve"> delito de incendio es un ejemplo de un incendio intencional, pero no todos los incendios intencionales son delitos de incendio.</w:t>
                  </w:r>
                </w:p>
                <w:p w:rsidR="003E4E2C" w:rsidRPr="005F70BA" w:rsidRDefault="00B2421B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ES"/>
                    </w:rPr>
                  </w:pPr>
                </w:p>
                <w:p w:rsidR="0086688D" w:rsidRPr="005F70BA" w:rsidRDefault="002B3DB2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ES"/>
                    </w:rPr>
                  </w:pPr>
                  <w:r w:rsidRPr="005F70BA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ES"/>
                    </w:rPr>
                    <w:t>Durante los últimos cinco años, se produjeron, en promedio, 1137 incendios intencionales en Minnesota.</w:t>
                  </w:r>
                </w:p>
                <w:p w:rsidR="0086688D" w:rsidRPr="005F70BA" w:rsidRDefault="00B2421B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4"/>
                      <w:szCs w:val="24"/>
                      <w:lang w:val="es-ES"/>
                    </w:rPr>
                  </w:pPr>
                </w:p>
                <w:p w:rsidR="00ED1100" w:rsidRPr="005F70BA" w:rsidRDefault="002B3DB2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  <w:lang w:val="es-ES"/>
                    </w:rPr>
                  </w:pPr>
                  <w:r w:rsidRPr="005F70BA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ES"/>
                    </w:rPr>
                    <w:t>En 2013, se produjeron</w:t>
                  </w:r>
                  <w:r w:rsidRPr="005F70BA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ES"/>
                    </w:rPr>
                    <w:t xml:space="preserve"> </w:t>
                  </w:r>
                  <w:r w:rsidRPr="005F70BA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ES"/>
                    </w:rPr>
                    <w:t>170 incendios intencionales residenciales en Minnesota.</w:t>
                  </w:r>
                </w:p>
              </w:txbxContent>
            </v:textbox>
            <w10:wrap anchory="page"/>
          </v:shape>
        </w:pict>
      </w:r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48000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45952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F06536" w:rsidRPr="00F06536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F06536" w:rsidRPr="00F06536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B2421B" w:rsidRDefault="00B2421B" w:rsidP="00B242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WEBSITE</w:t>
                  </w:r>
                </w:p>
                <w:p w:rsidR="00B2421B" w:rsidRDefault="00B2421B" w:rsidP="00B242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 w:val="es-AR"/>
                    </w:rPr>
                  </w:pPr>
                </w:p>
                <w:p w:rsidR="00B2421B" w:rsidRDefault="00B2421B" w:rsidP="00B242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</w:p>
                <w:p w:rsidR="00B2421B" w:rsidRDefault="00B2421B" w:rsidP="00B2421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  <w:p w:rsidR="00E12BA9" w:rsidRPr="00B2421B" w:rsidRDefault="00B2421B" w:rsidP="00B2421B">
                  <w:pPr>
                    <w:rPr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3F50412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A5DEA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6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E4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D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CC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EC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E2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0C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3C6B"/>
    <w:rsid w:val="002B3DB2"/>
    <w:rsid w:val="005F70BA"/>
    <w:rsid w:val="00893C6B"/>
    <w:rsid w:val="00B2421B"/>
    <w:rsid w:val="00F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2A464-6677-413D-8D8F-892371C644A4}"/>
</file>

<file path=customXml/itemProps2.xml><?xml version="1.0" encoding="utf-8"?>
<ds:datastoreItem xmlns:ds="http://schemas.openxmlformats.org/officeDocument/2006/customXml" ds:itemID="{D174F556-2A29-45F4-9932-18511202A8B7}"/>
</file>

<file path=customXml/itemProps3.xml><?xml version="1.0" encoding="utf-8"?>
<ds:datastoreItem xmlns:ds="http://schemas.openxmlformats.org/officeDocument/2006/customXml" ds:itemID="{21D08144-409A-4517-BB09-BC44A44F6889}"/>
</file>

<file path=customXml/itemProps4.xml><?xml version="1.0" encoding="utf-8"?>
<ds:datastoreItem xmlns:ds="http://schemas.openxmlformats.org/officeDocument/2006/customXml" ds:itemID="{D654A3EA-7B1D-42FF-835E-AE2E74E0A120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Arson prevention fact sheet in Spanish</dc:title>
  <dc:creator>Longaecker, Jennifer</dc:creator>
  <cp:lastModifiedBy>Coleman Mahler</cp:lastModifiedBy>
  <cp:revision>4</cp:revision>
  <cp:lastPrinted>2014-10-16T19:44:00Z</cp:lastPrinted>
  <dcterms:created xsi:type="dcterms:W3CDTF">2015-03-09T16:07:00Z</dcterms:created>
  <dcterms:modified xsi:type="dcterms:W3CDTF">2015-04-27T17:57:00Z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